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8DE6" w14:textId="2AE228E1" w:rsidR="005577C1" w:rsidRPr="004B36B6" w:rsidRDefault="005577C1" w:rsidP="00283D9E">
      <w:pPr>
        <w:rPr>
          <w:rFonts w:cs="David"/>
          <w:sz w:val="22"/>
          <w:szCs w:val="22"/>
          <w:rtl/>
        </w:rPr>
      </w:pPr>
      <w:r>
        <w:rPr>
          <w:rFonts w:cs="David" w:hint="cs"/>
          <w:rtl/>
        </w:rPr>
        <w:t>בס"ד</w:t>
      </w:r>
      <w:r w:rsidRPr="004B36B6">
        <w:rPr>
          <w:rFonts w:cs="David" w:hint="cs"/>
          <w:sz w:val="22"/>
          <w:szCs w:val="22"/>
          <w:rtl/>
        </w:rPr>
        <w:t xml:space="preserve">                                                        </w:t>
      </w:r>
      <w:r>
        <w:rPr>
          <w:rFonts w:cs="David" w:hint="cs"/>
          <w:sz w:val="22"/>
          <w:szCs w:val="22"/>
          <w:rtl/>
        </w:rPr>
        <w:t xml:space="preserve">          </w:t>
      </w:r>
    </w:p>
    <w:p w14:paraId="19B40271" w14:textId="47C9D2A0" w:rsidR="007E2537" w:rsidRDefault="007E2537" w:rsidP="007E2537">
      <w:pPr>
        <w:rPr>
          <w:rFonts w:cs="David"/>
          <w:sz w:val="20"/>
          <w:szCs w:val="20"/>
          <w:rtl/>
        </w:rPr>
      </w:pPr>
    </w:p>
    <w:p w14:paraId="51E221A9" w14:textId="339D0C00" w:rsidR="0089425B" w:rsidRPr="00DF307B" w:rsidRDefault="007E2537" w:rsidP="0089425B">
      <w:pPr>
        <w:jc w:val="center"/>
        <w:rPr>
          <w:rFonts w:cs="David"/>
          <w:b/>
          <w:bCs/>
          <w:i/>
          <w:iCs/>
          <w:sz w:val="28"/>
          <w:szCs w:val="28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</w:t>
      </w:r>
      <w:r w:rsidRPr="00674B9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יצירות ליחידת החובה בספרות לשנת </w:t>
      </w:r>
      <w:r w:rsidRPr="00674B9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ו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t>(</w:t>
      </w:r>
      <w:r w:rsidRPr="00464B08">
        <w:rPr>
          <w:rFonts w:cs="David"/>
          <w:b/>
          <w:bCs/>
          <w:sz w:val="28"/>
          <w:szCs w:val="28"/>
          <w:highlight w:val="lightGray"/>
          <w:rtl/>
        </w:rPr>
        <w:t>שאלון   91</w:t>
      </w:r>
      <w:r w:rsidRPr="00464B08">
        <w:rPr>
          <w:rFonts w:cs="David" w:hint="cs"/>
          <w:b/>
          <w:bCs/>
          <w:sz w:val="28"/>
          <w:szCs w:val="28"/>
          <w:highlight w:val="lightGray"/>
          <w:rtl/>
        </w:rPr>
        <w:t>81</w:t>
      </w:r>
      <w:r w:rsidRPr="00464B08">
        <w:rPr>
          <w:rFonts w:cs="David"/>
          <w:b/>
          <w:bCs/>
          <w:sz w:val="32"/>
          <w:szCs w:val="32"/>
          <w:highlight w:val="lightGray"/>
          <w:rtl/>
        </w:rPr>
        <w:t xml:space="preserve"> )</w:t>
      </w:r>
      <w:r w:rsidRPr="00674B91">
        <w:rPr>
          <w:rFonts w:cs="David"/>
          <w:b/>
          <w:bCs/>
          <w:sz w:val="32"/>
          <w:szCs w:val="32"/>
          <w:highlight w:val="lightGray"/>
          <w:rtl/>
        </w:rPr>
        <w:br/>
      </w:r>
      <w:proofErr w:type="spellStart"/>
      <w:r w:rsidR="00AC43EA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פרוייקט</w:t>
      </w:r>
      <w:proofErr w:type="spellEnd"/>
      <w:r w:rsidR="00AC43EA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 xml:space="preserve"> הילה לבוגרי תשפ"ז</w:t>
      </w:r>
      <w:r w:rsidR="00283D9E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 xml:space="preserve"> ואילך</w:t>
      </w:r>
    </w:p>
    <w:p w14:paraId="15316030" w14:textId="77777777" w:rsidR="007E2537" w:rsidRDefault="007E2537" w:rsidP="007E2537">
      <w:pPr>
        <w:ind w:left="-794"/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8922" w:type="dxa"/>
        <w:tblInd w:w="42" w:type="dxa"/>
        <w:tblLook w:val="01E0" w:firstRow="1" w:lastRow="1" w:firstColumn="1" w:lastColumn="1" w:noHBand="0" w:noVBand="0"/>
      </w:tblPr>
      <w:tblGrid>
        <w:gridCol w:w="4602"/>
        <w:gridCol w:w="4320"/>
      </w:tblGrid>
      <w:tr w:rsidR="007E2537" w14:paraId="13658F24" w14:textId="77777777" w:rsidTr="00FC02FD">
        <w:trPr>
          <w:trHeight w:val="70"/>
        </w:trPr>
        <w:tc>
          <w:tcPr>
            <w:tcW w:w="4602" w:type="dxa"/>
          </w:tcPr>
          <w:p w14:paraId="1E16C8F9" w14:textId="57E079A4" w:rsidR="007E2537" w:rsidRDefault="00DF5BE6" w:rsidP="00FC02FD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Guttman Drogolin" w:hint="cs"/>
                <w:b/>
                <w:bCs/>
                <w:rtl/>
              </w:rPr>
              <w:t xml:space="preserve">    </w:t>
            </w:r>
            <w:r w:rsidR="007E253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א. </w:t>
            </w:r>
            <w:r w:rsidR="007E253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סיפורת ודרמה</w:t>
            </w:r>
          </w:p>
          <w:p w14:paraId="6B28C302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מעשה חכמים מספרות התלמוד   והמדרש</w:t>
            </w:r>
          </w:p>
          <w:p w14:paraId="15CE19AB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1EBB6501" w14:textId="77777777" w:rsidR="007E2537" w:rsidRPr="00AD0FC0" w:rsidRDefault="007E2537" w:rsidP="00FC02FD">
            <w:pPr>
              <w:spacing w:line="256" w:lineRule="auto"/>
              <w:rPr>
                <w:rFonts w:cs="David"/>
                <w:rtl/>
              </w:rPr>
            </w:pPr>
            <w:r w:rsidRPr="00AD0FC0">
              <w:rPr>
                <w:rFonts w:cs="David" w:hint="cs"/>
                <w:rtl/>
              </w:rPr>
              <w:t xml:space="preserve">        </w:t>
            </w:r>
            <w:r w:rsidRPr="00673418">
              <w:rPr>
                <w:rFonts w:cs="David" w:hint="cs"/>
                <w:rtl/>
              </w:rPr>
              <w:t xml:space="preserve">מר </w:t>
            </w:r>
            <w:proofErr w:type="spellStart"/>
            <w:r w:rsidRPr="00673418">
              <w:rPr>
                <w:rFonts w:cs="David" w:hint="cs"/>
                <w:rtl/>
              </w:rPr>
              <w:t>עוקבא</w:t>
            </w:r>
            <w:proofErr w:type="spellEnd"/>
            <w:r w:rsidRPr="00673418">
              <w:rPr>
                <w:rFonts w:cs="David" w:hint="cs"/>
                <w:rtl/>
              </w:rPr>
              <w:t xml:space="preserve"> ואשתו (לפתח צדקה)</w:t>
            </w:r>
          </w:p>
          <w:p w14:paraId="161E8D77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</w:p>
          <w:p w14:paraId="2D25C741" w14:textId="77777777" w:rsidR="007E2537" w:rsidRPr="00B72D69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ספור קצר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עברי </w:t>
            </w:r>
          </w:p>
          <w:p w14:paraId="1D59C4DC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</w:p>
          <w:p w14:paraId="17E1E0E6" w14:textId="77777777" w:rsidR="007E2537" w:rsidRPr="00B72D69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שברירים/ דבורה בארון</w:t>
            </w:r>
            <w:r>
              <w:rPr>
                <w:rFonts w:cs="David"/>
                <w:rtl/>
              </w:rPr>
              <w:br/>
            </w:r>
          </w:p>
          <w:p w14:paraId="4F7D9B24" w14:textId="04BEE14F" w:rsidR="007E2537" w:rsidRDefault="007E2537" w:rsidP="00FC02FD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</w:rPr>
              <w:t xml:space="preserve"> </w:t>
            </w:r>
          </w:p>
          <w:p w14:paraId="3ED7E8A3" w14:textId="77777777" w:rsidR="007E2537" w:rsidRDefault="007E2537" w:rsidP="00FC02FD">
            <w:pPr>
              <w:spacing w:line="256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br/>
              <w:t xml:space="preserve">   </w:t>
            </w:r>
            <w:r w:rsidRPr="00F105B4">
              <w:rPr>
                <w:rFonts w:cs="David"/>
                <w:sz w:val="28"/>
                <w:szCs w:val="28"/>
                <w:rtl/>
              </w:rPr>
              <w:t>ש"י עגנון</w:t>
            </w:r>
            <w:r w:rsidRPr="00F105B4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F105B4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או </w:t>
            </w:r>
            <w:r w:rsidRPr="00F105B4">
              <w:rPr>
                <w:rFonts w:cs="David" w:hint="cs"/>
                <w:sz w:val="28"/>
                <w:szCs w:val="28"/>
                <w:rtl/>
              </w:rPr>
              <w:t>דרמה</w:t>
            </w:r>
            <w:r>
              <w:rPr>
                <w:rFonts w:cs="Guttman Drogolin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14:paraId="7C049C2A" w14:textId="5FBBD2D0" w:rsidR="007E2537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ש"י עגנון</w:t>
            </w:r>
            <w:r w:rsidR="00AC43EA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92B401" w14:textId="77777777" w:rsidR="007E2537" w:rsidRPr="00526D10" w:rsidRDefault="007E2537" w:rsidP="00FC02FD">
            <w:pPr>
              <w:numPr>
                <w:ilvl w:val="0"/>
                <w:numId w:val="2"/>
              </w:numPr>
              <w:spacing w:line="256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תהילה</w:t>
            </w:r>
          </w:p>
          <w:p w14:paraId="56106301" w14:textId="77777777" w:rsidR="007E2537" w:rsidRDefault="007E2537" w:rsidP="00FC02FD">
            <w:pPr>
              <w:spacing w:line="256" w:lineRule="auto"/>
              <w:ind w:left="897"/>
              <w:rPr>
                <w:rFonts w:cs="David"/>
              </w:rPr>
            </w:pPr>
          </w:p>
          <w:p w14:paraId="3B1D5A76" w14:textId="1E2A475D" w:rsidR="007E2537" w:rsidRDefault="007E2537" w:rsidP="00FC02FD">
            <w:pPr>
              <w:spacing w:line="256" w:lineRule="auto"/>
              <w:ind w:right="18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t>.</w:t>
            </w:r>
          </w:p>
          <w:p w14:paraId="70243037" w14:textId="77777777" w:rsidR="007E2537" w:rsidRDefault="007E2537" w:rsidP="00FC02FD">
            <w:pPr>
              <w:spacing w:line="256" w:lineRule="auto"/>
              <w:ind w:right="180"/>
              <w:rPr>
                <w:rFonts w:ascii="David" w:eastAsia="Batang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הערכה חלופית:</w:t>
            </w:r>
            <w:r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  <w:t>רומן עברי או מתורגם ושני שירים:</w:t>
            </w:r>
          </w:p>
          <w:p w14:paraId="375A9588" w14:textId="1C5DCE1C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1.</w:t>
            </w:r>
            <w:r>
              <w:rPr>
                <w:rFonts w:cs="David"/>
                <w:rtl/>
              </w:rPr>
              <w:t xml:space="preserve"> </w:t>
            </w:r>
            <w:r w:rsidR="00AC43EA">
              <w:rPr>
                <w:rFonts w:cs="David" w:hint="cs"/>
                <w:rtl/>
              </w:rPr>
              <w:t xml:space="preserve">כל מורה יבחר ספר אחד יש לסמן את הספר הנבחר: בואי הרוח\ מישהו לרוץ </w:t>
            </w:r>
            <w:proofErr w:type="spellStart"/>
            <w:r w:rsidR="00AC43EA">
              <w:rPr>
                <w:rFonts w:cs="David" w:hint="cs"/>
                <w:rtl/>
              </w:rPr>
              <w:t>איתו</w:t>
            </w:r>
            <w:proofErr w:type="spellEnd"/>
            <w:r w:rsidR="00AC43EA">
              <w:rPr>
                <w:rFonts w:cs="David" w:hint="cs"/>
                <w:rtl/>
              </w:rPr>
              <w:t>\ אל תיגע בזמיר</w:t>
            </w:r>
          </w:p>
          <w:p w14:paraId="47FFACD4" w14:textId="77777777" w:rsidR="00AC43EA" w:rsidRDefault="00AC43EA" w:rsidP="00AC43EA">
            <w:pPr>
              <w:spacing w:line="256" w:lineRule="auto"/>
              <w:rPr>
                <w:rtl/>
              </w:rPr>
            </w:pPr>
            <w:r>
              <w:rPr>
                <w:rFonts w:ascii="David" w:hAnsi="David" w:hint="cs"/>
                <w:rtl/>
              </w:rPr>
              <w:t xml:space="preserve">2. </w:t>
            </w:r>
            <w:r w:rsidRPr="00AC43EA">
              <w:rPr>
                <w:rFonts w:ascii="David" w:hAnsi="David" w:hint="cs"/>
                <w:rtl/>
              </w:rPr>
              <w:t>שני יסודות- זלדה</w:t>
            </w:r>
          </w:p>
          <w:p w14:paraId="5B790A08" w14:textId="5847727B" w:rsidR="00AC43EA" w:rsidRDefault="00AC43EA" w:rsidP="00AC43EA">
            <w:pPr>
              <w:spacing w:line="256" w:lineRule="auto"/>
              <w:rPr>
                <w:rFonts w:ascii="David" w:hAnsi="David"/>
              </w:rPr>
            </w:pPr>
            <w:r>
              <w:rPr>
                <w:rFonts w:hint="cs"/>
                <w:rtl/>
              </w:rPr>
              <w:t xml:space="preserve">3. </w:t>
            </w:r>
            <w:r>
              <w:rPr>
                <w:rFonts w:ascii="David" w:hAnsi="David" w:hint="cs"/>
                <w:rtl/>
              </w:rPr>
              <w:t xml:space="preserve">שלושה שעמדו </w:t>
            </w:r>
            <w:r>
              <w:rPr>
                <w:rFonts w:ascii="David" w:hAnsi="David"/>
                <w:rtl/>
              </w:rPr>
              <w:t>–</w:t>
            </w:r>
            <w:r>
              <w:rPr>
                <w:rFonts w:ascii="David" w:hAnsi="David" w:hint="cs"/>
                <w:rtl/>
              </w:rPr>
              <w:t xml:space="preserve"> לאה גולדברג</w:t>
            </w:r>
          </w:p>
          <w:p w14:paraId="6638AC7D" w14:textId="36961A2E" w:rsidR="007E2537" w:rsidRDefault="007E2537" w:rsidP="00AC43EA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320" w:type="dxa"/>
          </w:tcPr>
          <w:p w14:paraId="14B54414" w14:textId="09966516" w:rsidR="007E2537" w:rsidRDefault="007E2537" w:rsidP="00FC02FD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>ג.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שירה</w:t>
            </w:r>
            <w:proofErr w:type="spellEnd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 xml:space="preserve"> עברית </w:t>
            </w:r>
          </w:p>
          <w:p w14:paraId="09016D0A" w14:textId="77777777" w:rsidR="007E2537" w:rsidRDefault="007E2537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 שירה עברית בימי הביניים:</w:t>
            </w:r>
          </w:p>
          <w:p w14:paraId="16C0CDD6" w14:textId="77777777" w:rsidR="007E2537" w:rsidRDefault="007E2537" w:rsidP="00FC02FD">
            <w:pPr>
              <w:spacing w:line="276" w:lineRule="auto"/>
              <w:rPr>
                <w:rFonts w:cs="David"/>
                <w:rtl/>
              </w:rPr>
            </w:pPr>
          </w:p>
          <w:p w14:paraId="7DA53CDE" w14:textId="77777777" w:rsidR="007E2537" w:rsidRPr="00E779E3" w:rsidRDefault="007E2537" w:rsidP="00FC02FD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</w:t>
            </w:r>
            <w:r w:rsidRPr="00D36FD0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D36FD0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D36FD0">
              <w:rPr>
                <w:rFonts w:cs="David"/>
                <w:b/>
                <w:bCs/>
                <w:rtl/>
              </w:rPr>
              <w:t>)</w:t>
            </w:r>
          </w:p>
          <w:p w14:paraId="471CFE58" w14:textId="77777777" w:rsidR="007E2537" w:rsidRPr="005235FF" w:rsidRDefault="007E2537" w:rsidP="00FC02FD">
            <w:pPr>
              <w:spacing w:line="276" w:lineRule="auto"/>
              <w:outlineLvl w:val="0"/>
              <w:rPr>
                <w:rFonts w:cs="David"/>
                <w:color w:val="000000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 w:hint="cs"/>
                <w:rtl/>
              </w:rPr>
              <w:t xml:space="preserve">1. </w:t>
            </w:r>
            <w:r>
              <w:rPr>
                <w:rFonts w:cs="David" w:hint="cs"/>
                <w:color w:val="000000"/>
                <w:rtl/>
              </w:rPr>
              <w:t>שחרתיך בכל שחרי ונשפי</w:t>
            </w:r>
          </w:p>
          <w:p w14:paraId="3E564CD0" w14:textId="77777777" w:rsidR="007E2537" w:rsidRDefault="007E2537" w:rsidP="00FC02FD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0FCD8F0C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>
              <w:rPr>
                <w:rFonts w:cs="David"/>
                <w:b/>
                <w:bCs/>
                <w:rtl/>
              </w:rPr>
              <w:t>ריה"ל</w:t>
            </w:r>
            <w:proofErr w:type="spellEnd"/>
            <w:r>
              <w:rPr>
                <w:rFonts w:cs="David"/>
                <w:b/>
                <w:bCs/>
                <w:rtl/>
              </w:rPr>
              <w:t>)</w:t>
            </w:r>
          </w:p>
          <w:p w14:paraId="5BF57DC6" w14:textId="77777777" w:rsidR="007E2537" w:rsidRPr="00321C8C" w:rsidRDefault="007E2537" w:rsidP="00FC02FD">
            <w:pPr>
              <w:pStyle w:val="a9"/>
              <w:numPr>
                <w:ilvl w:val="0"/>
                <w:numId w:val="1"/>
              </w:numPr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rtl/>
              </w:rPr>
              <w:t xml:space="preserve">  </w:t>
            </w:r>
            <w:r>
              <w:rPr>
                <w:rFonts w:cs="David" w:hint="cs"/>
                <w:rtl/>
              </w:rPr>
              <w:t>1. יפה נוף</w:t>
            </w:r>
          </w:p>
          <w:p w14:paraId="73E6FA88" w14:textId="77777777" w:rsidR="007E2537" w:rsidRDefault="007E2537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D2B27" wp14:editId="2A5D4E76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140335</wp:posOffset>
                      </wp:positionV>
                      <wp:extent cx="60007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31DA1" w14:textId="57008796" w:rsidR="007E2537" w:rsidRPr="00F461F3" w:rsidRDefault="007E2537" w:rsidP="00AC43E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AD2B27" id="תיבת טקסט 7" o:spid="_x0000_s1028" type="#_x0000_t202" style="position:absolute;left:0;text-align:left;margin-left:-14.15pt;margin-top:11.05pt;width:47.2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" fillcolor="white [3201]" stroked="f" strokeweight=".5pt">
                      <v:textbox>
                        <w:txbxContent>
                          <w:p w14:paraId="26031DA1" w14:textId="57008796" w:rsidR="007E2537" w:rsidRPr="00F461F3" w:rsidRDefault="007E2537" w:rsidP="00AC43E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24FA8" w14:textId="77777777" w:rsidR="007E2537" w:rsidRPr="000F0169" w:rsidRDefault="007E2537" w:rsidP="00FC02FD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שירה עברית במאה ה-20</w:t>
            </w:r>
          </w:p>
          <w:p w14:paraId="1BA6D333" w14:textId="77777777" w:rsidR="007E2537" w:rsidRDefault="007E2537" w:rsidP="00FC02FD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6A0105F8" w14:textId="77777777" w:rsidR="007E2537" w:rsidRDefault="007E2537" w:rsidP="00FC02FD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444EEF02" w14:textId="77777777" w:rsidR="007E2537" w:rsidRPr="00C57501" w:rsidRDefault="007E2537" w:rsidP="00FC02FD">
            <w:pPr>
              <w:spacing w:line="276" w:lineRule="auto"/>
              <w:ind w:right="-540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>1. לבדי</w:t>
            </w:r>
          </w:p>
          <w:p w14:paraId="2333F97E" w14:textId="77777777" w:rsidR="007E2537" w:rsidRDefault="007E2537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</w:t>
            </w:r>
          </w:p>
          <w:p w14:paraId="1BF7217B" w14:textId="5362D1DA" w:rsidR="007E2537" w:rsidRDefault="00AC43EA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 w:rsidR="00EE5099">
              <w:rPr>
                <w:rFonts w:cs="David" w:hint="cs"/>
                <w:rtl/>
              </w:rPr>
              <w:t>נושאים נבחרים:</w:t>
            </w:r>
            <w:r w:rsidR="007E2537">
              <w:rPr>
                <w:rFonts w:cs="David"/>
                <w:rtl/>
              </w:rPr>
              <w:br/>
              <w:t xml:space="preserve">  </w:t>
            </w:r>
          </w:p>
          <w:p w14:paraId="72CC22D4" w14:textId="77777777" w:rsidR="007E2537" w:rsidRPr="00E01730" w:rsidRDefault="007E2537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1C61133B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אי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>זלדה</w:t>
            </w:r>
          </w:p>
          <w:p w14:paraId="48EB1935" w14:textId="6B7B98C4" w:rsidR="007E2537" w:rsidRDefault="007E2537" w:rsidP="00AC43EA">
            <w:r>
              <w:rPr>
                <w:rFonts w:cs="David"/>
                <w:rtl/>
              </w:rPr>
              <w:t xml:space="preserve">2. </w:t>
            </w:r>
            <w:r w:rsidR="00AC43EA" w:rsidRPr="00AC43EA">
              <w:rPr>
                <w:rFonts w:cs="David"/>
                <w:rtl/>
              </w:rPr>
              <w:t xml:space="preserve">גדולים מעשי א-לוקי / אמיר </w:t>
            </w:r>
            <w:proofErr w:type="spellStart"/>
            <w:r w:rsidR="00AC43EA" w:rsidRPr="00AC43EA">
              <w:rPr>
                <w:rFonts w:cs="David"/>
                <w:rtl/>
              </w:rPr>
              <w:t>גלבע</w:t>
            </w:r>
            <w:proofErr w:type="spellEnd"/>
          </w:p>
          <w:p w14:paraId="7E32E123" w14:textId="77777777" w:rsidR="007E2537" w:rsidRDefault="007E2537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 w:rsidRPr="00D36FD0">
              <w:rPr>
                <w:rFonts w:cs="David"/>
                <w:b/>
                <w:bCs/>
                <w:rtl/>
              </w:rPr>
              <w:t>נושא ב':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 w:rsidRPr="00D36FD0">
              <w:rPr>
                <w:rFonts w:cs="David"/>
                <w:b/>
                <w:bCs/>
                <w:rtl/>
              </w:rPr>
              <w:t>שירים בצל השואה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  <w:p w14:paraId="00F40896" w14:textId="77777777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ניצול/ לאה איני</w:t>
            </w:r>
          </w:p>
          <w:p w14:paraId="4568AD64" w14:textId="77777777" w:rsidR="00AC43EA" w:rsidRPr="00AC43EA" w:rsidRDefault="007E2537" w:rsidP="00AC43EA">
            <w:pPr>
              <w:spacing w:line="256" w:lineRule="auto"/>
              <w:ind w:left="-227" w:firstLine="207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2. </w:t>
            </w:r>
            <w:r w:rsidR="00AC43EA" w:rsidRPr="00AC43EA">
              <w:rPr>
                <w:rFonts w:cs="David"/>
                <w:rtl/>
              </w:rPr>
              <w:t xml:space="preserve">שתיקות/ איתמר </w:t>
            </w:r>
            <w:proofErr w:type="spellStart"/>
            <w:r w:rsidR="00AC43EA" w:rsidRPr="00AC43EA">
              <w:rPr>
                <w:rFonts w:cs="David"/>
                <w:rtl/>
              </w:rPr>
              <w:t>יעוז</w:t>
            </w:r>
            <w:proofErr w:type="spellEnd"/>
            <w:r w:rsidR="00AC43EA" w:rsidRPr="00AC43EA">
              <w:rPr>
                <w:rFonts w:cs="David"/>
                <w:rtl/>
              </w:rPr>
              <w:t xml:space="preserve"> קסט</w:t>
            </w:r>
          </w:p>
          <w:p w14:paraId="2CFA0230" w14:textId="5BD0AAA9" w:rsidR="007E2537" w:rsidRDefault="007E2537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</w:p>
          <w:p w14:paraId="20D872E3" w14:textId="45125403" w:rsidR="007E2537" w:rsidRDefault="007E2537" w:rsidP="00AC43EA">
            <w:pPr>
              <w:spacing w:line="256" w:lineRule="auto"/>
              <w:ind w:left="-397" w:firstLine="207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</w:t>
            </w:r>
          </w:p>
          <w:p w14:paraId="2ABC2517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0EE7A6CB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CB9BE" wp14:editId="31FEA4C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6D18D" w14:textId="77777777" w:rsidR="007E2537" w:rsidRDefault="007E2537" w:rsidP="007E2537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4401F15A" w14:textId="77777777" w:rsidR="007E2537" w:rsidRDefault="007E2537" w:rsidP="007E25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B9BE" id="תיבת טקסט 3" o:spid="_x0000_s1029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" fillcolor="white [3201]" stroked="f" strokeweight=".5pt">
                      <v:textbox>
                        <w:txbxContent>
                          <w:p w14:paraId="3AE6D18D" w14:textId="77777777" w:rsidR="007E2537" w:rsidRDefault="007E2537" w:rsidP="007E2537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401F15A" w14:textId="77777777" w:rsidR="007E2537" w:rsidRDefault="007E2537" w:rsidP="007E2537"/>
                        </w:txbxContent>
                      </v:textbox>
                    </v:shape>
                  </w:pict>
                </mc:Fallback>
              </mc:AlternateContent>
            </w:r>
          </w:p>
          <w:p w14:paraId="67F67F81" w14:textId="77777777" w:rsidR="007E2537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768655D2" w14:textId="77777777" w:rsidR="007E2537" w:rsidRPr="004E79F3" w:rsidRDefault="007E2537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1A9750F4" w14:textId="77777777" w:rsidR="007E2537" w:rsidRDefault="007E2537" w:rsidP="00FC02FD">
            <w:pPr>
              <w:spacing w:line="256" w:lineRule="auto"/>
              <w:ind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br/>
              <w:t xml:space="preserve">  __________________________</w:t>
            </w:r>
          </w:p>
          <w:p w14:paraId="3A095744" w14:textId="77777777" w:rsidR="007E2537" w:rsidRDefault="007E2537" w:rsidP="00FC02FD">
            <w:pPr>
              <w:spacing w:line="256" w:lineRule="auto"/>
              <w:rPr>
                <w:rFonts w:cs="David"/>
                <w:rtl/>
              </w:rPr>
            </w:pPr>
          </w:p>
        </w:tc>
      </w:tr>
    </w:tbl>
    <w:p w14:paraId="604B3B48" w14:textId="77777777" w:rsidR="007E2537" w:rsidRDefault="007E2537" w:rsidP="007E2537"/>
    <w:p w14:paraId="412E2FC5" w14:textId="77777777" w:rsidR="007E2537" w:rsidRDefault="007E2537" w:rsidP="007E2537"/>
    <w:p w14:paraId="6C9F8F4D" w14:textId="77777777" w:rsidR="00524EA3" w:rsidRDefault="00524EA3"/>
    <w:sectPr w:rsidR="00524EA3" w:rsidSect="00D34E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B2266"/>
    <w:multiLevelType w:val="hybridMultilevel"/>
    <w:tmpl w:val="4EE0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A4B8B"/>
    <w:multiLevelType w:val="hybridMultilevel"/>
    <w:tmpl w:val="7C4C0E22"/>
    <w:lvl w:ilvl="0" w:tplc="17CC4BA6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054308075">
    <w:abstractNumId w:val="1"/>
  </w:num>
  <w:num w:numId="2" w16cid:durableId="274755902">
    <w:abstractNumId w:val="2"/>
  </w:num>
  <w:num w:numId="3" w16cid:durableId="4287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33"/>
    <w:rsid w:val="00112BE4"/>
    <w:rsid w:val="001A0529"/>
    <w:rsid w:val="00283D9E"/>
    <w:rsid w:val="002B1371"/>
    <w:rsid w:val="002B3239"/>
    <w:rsid w:val="002C2391"/>
    <w:rsid w:val="003B784E"/>
    <w:rsid w:val="0044123B"/>
    <w:rsid w:val="00485E33"/>
    <w:rsid w:val="004C6754"/>
    <w:rsid w:val="00524EA3"/>
    <w:rsid w:val="005577C1"/>
    <w:rsid w:val="006106C9"/>
    <w:rsid w:val="00636EAE"/>
    <w:rsid w:val="007360BF"/>
    <w:rsid w:val="00753985"/>
    <w:rsid w:val="007E2537"/>
    <w:rsid w:val="008346D6"/>
    <w:rsid w:val="0089425B"/>
    <w:rsid w:val="00A15AB7"/>
    <w:rsid w:val="00AC43EA"/>
    <w:rsid w:val="00B00FDF"/>
    <w:rsid w:val="00B53D4B"/>
    <w:rsid w:val="00BC0EFE"/>
    <w:rsid w:val="00C92934"/>
    <w:rsid w:val="00D34E0A"/>
    <w:rsid w:val="00DF5BE6"/>
    <w:rsid w:val="00EE5099"/>
    <w:rsid w:val="00F4594E"/>
    <w:rsid w:val="00F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5A60"/>
  <w15:chartTrackingRefBased/>
  <w15:docId w15:val="{DCD9A91C-E160-4480-A04F-B2B092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37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5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85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85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85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85E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85E3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85E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85E3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85E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85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8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85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8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85E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5E33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7E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Najib Talhami</cp:lastModifiedBy>
  <cp:revision>2</cp:revision>
  <dcterms:created xsi:type="dcterms:W3CDTF">2025-08-27T15:11:00Z</dcterms:created>
  <dcterms:modified xsi:type="dcterms:W3CDTF">2025-08-27T15:11:00Z</dcterms:modified>
</cp:coreProperties>
</file>