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4A699" w14:textId="77777777" w:rsidR="002F5AF9" w:rsidRDefault="00000000">
      <w:pPr>
        <w:jc w:val="center"/>
        <w:rPr>
          <w:b/>
          <w:sz w:val="32"/>
          <w:szCs w:val="32"/>
        </w:rPr>
      </w:pPr>
      <w:bookmarkStart w:id="0" w:name="_esbzaqi4sh2k" w:colFirst="0" w:colLast="0"/>
      <w:bookmarkEnd w:id="0"/>
      <w:r>
        <w:rPr>
          <w:rFonts w:ascii="David" w:eastAsia="David" w:hAnsi="David" w:cs="David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hidden="0" allowOverlap="1" wp14:anchorId="728D0CD7" wp14:editId="28328938">
            <wp:simplePos x="0" y="0"/>
            <wp:positionH relativeFrom="margin">
              <wp:posOffset>-565148</wp:posOffset>
            </wp:positionH>
            <wp:positionV relativeFrom="topMargin">
              <wp:posOffset>158750</wp:posOffset>
            </wp:positionV>
            <wp:extent cx="10001250" cy="88582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68005D" w14:textId="77777777" w:rsidR="002F5AF9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rtl/>
        </w:rPr>
        <w:t xml:space="preserve">סילבוס 12 שנ"ל מבחן חיצוני </w:t>
      </w:r>
    </w:p>
    <w:p w14:paraId="03E2E640" w14:textId="77777777" w:rsidR="002F5AF9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rtl/>
        </w:rPr>
        <w:t>בית שני</w:t>
      </w:r>
    </w:p>
    <w:tbl>
      <w:tblPr>
        <w:tblStyle w:val="a5"/>
        <w:bidiVisual/>
        <w:tblW w:w="145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3"/>
        <w:gridCol w:w="10627"/>
      </w:tblGrid>
      <w:tr w:rsidR="002F5AF9" w14:paraId="20264313" w14:textId="77777777">
        <w:tc>
          <w:tcPr>
            <w:tcW w:w="3923" w:type="dxa"/>
          </w:tcPr>
          <w:p w14:paraId="32A7DF78" w14:textId="77777777" w:rsidR="002F5AF9" w:rsidRDefault="002F5AF9">
            <w:pPr>
              <w:spacing w:line="360" w:lineRule="auto"/>
              <w:ind w:left="360"/>
              <w:rPr>
                <w:b/>
              </w:rPr>
            </w:pPr>
          </w:p>
        </w:tc>
        <w:tc>
          <w:tcPr>
            <w:tcW w:w="10627" w:type="dxa"/>
          </w:tcPr>
          <w:p w14:paraId="6D34DD9A" w14:textId="77777777" w:rsidR="002F5AF9" w:rsidRDefault="00000000">
            <w:pPr>
              <w:spacing w:line="360" w:lineRule="auto"/>
              <w:jc w:val="center"/>
            </w:pPr>
            <w:r>
              <w:rPr>
                <w:b/>
                <w:rtl/>
              </w:rPr>
              <w:t>נושאי חובה</w:t>
            </w:r>
          </w:p>
        </w:tc>
      </w:tr>
      <w:tr w:rsidR="002F5AF9" w14:paraId="5868BCF5" w14:textId="77777777">
        <w:trPr>
          <w:trHeight w:val="1134"/>
        </w:trPr>
        <w:tc>
          <w:tcPr>
            <w:tcW w:w="3923" w:type="dxa"/>
          </w:tcPr>
          <w:p w14:paraId="76E7F98E" w14:textId="77777777" w:rsidR="002F5AF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דפוסי השלטון הרומאי בא"י ('מלך חסות' – הורדוס, הנציבים)</w:t>
            </w:r>
          </w:p>
          <w:p w14:paraId="3C5DABA1" w14:textId="77777777" w:rsidR="002F5AF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האם הורדוס היה מלך טוב ליהודים?</w:t>
            </w:r>
          </w:p>
          <w:p w14:paraId="708E20D1" w14:textId="77777777" w:rsidR="002F5AF9" w:rsidRDefault="002F5AF9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</w:tcPr>
          <w:p w14:paraId="178DF042" w14:textId="77777777" w:rsidR="002F5AF9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השלטון הרומאי העקיף: דמותו של 'מלך החסות' הורדוס</w:t>
            </w:r>
          </w:p>
          <w:p w14:paraId="3B46D10B" w14:textId="77777777" w:rsidR="002F5AF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1. מדוע העדיפו הרומאים לנקוט במדיניות של שלטון עקיף באמצעות שליטים מקומיים?</w:t>
            </w:r>
          </w:p>
          <w:p w14:paraId="26CE6E43" w14:textId="77777777" w:rsidR="002F5AF9" w:rsidRDefault="00000000">
            <w:pPr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rtl/>
              </w:rPr>
              <w:t>2. המאפיינים העיקריים של שלטון הורדוס: נאמנות לרומא ולשליטיה המתחלפים, תמיכה באוכלוסייה ההלניסטית בא"י, חיסול שרידי החשמונאים והאצולה ביהודה, התערבות בסדרי הכהונה והסנהדרין, מפעלי הבנייה המפוארים.</w:t>
            </w:r>
          </w:p>
        </w:tc>
      </w:tr>
      <w:tr w:rsidR="002F5AF9" w14:paraId="7FA1DA5E" w14:textId="77777777">
        <w:trPr>
          <w:trHeight w:val="914"/>
        </w:trPr>
        <w:tc>
          <w:tcPr>
            <w:tcW w:w="3923" w:type="dxa"/>
          </w:tcPr>
          <w:p w14:paraId="4525DAD2" w14:textId="77777777" w:rsidR="002F5AF9" w:rsidRDefault="002F5AF9">
            <w:pPr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</w:tcPr>
          <w:p w14:paraId="58487FA2" w14:textId="77777777" w:rsidR="002F5AF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השלטון הרומאי הישיר: תקופת הנציבים הרומאים.</w:t>
            </w:r>
          </w:p>
          <w:p w14:paraId="70553F6B" w14:textId="77777777" w:rsidR="002F5AF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1. תפקיד הנציב וסמכויותיו</w:t>
            </w:r>
          </w:p>
          <w:p w14:paraId="116ED659" w14:textId="77777777" w:rsidR="002F5AF9" w:rsidRDefault="0000000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rtl/>
              </w:rPr>
              <w:t xml:space="preserve">2.מאפייני שלטונם של הנציבים: עוינות ליישוב היהודי והעדפת הלא יהודים בארץ, עול כלכלי כבד, עושק ומעשי שחיתות, פעילות נגד תנועות משיחיות ומורדים. </w:t>
            </w:r>
          </w:p>
          <w:p w14:paraId="6421CC27" w14:textId="77777777" w:rsidR="002F5AF9" w:rsidRDefault="002F5AF9">
            <w:pPr>
              <w:rPr>
                <w:b/>
                <w:sz w:val="24"/>
                <w:szCs w:val="24"/>
              </w:rPr>
            </w:pPr>
          </w:p>
        </w:tc>
      </w:tr>
      <w:tr w:rsidR="002F5AF9" w14:paraId="128465FB" w14:textId="77777777">
        <w:trPr>
          <w:trHeight w:val="1143"/>
        </w:trPr>
        <w:tc>
          <w:tcPr>
            <w:tcW w:w="3923" w:type="dxa"/>
          </w:tcPr>
          <w:p w14:paraId="7F433F0E" w14:textId="77777777" w:rsidR="002F5AF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הסיבות למרד הגדול והעמדות השונות בוויכוח על היציאה למלחמה ברומאים</w:t>
            </w:r>
          </w:p>
          <w:p w14:paraId="51D7067A" w14:textId="77777777" w:rsidR="002F5AF9" w:rsidRDefault="002F5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27" w:type="dxa"/>
          </w:tcPr>
          <w:p w14:paraId="4120630B" w14:textId="77777777" w:rsidR="002F5AF9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הסיבות למרד הגדול:</w:t>
            </w:r>
            <w:r>
              <w:rPr>
                <w:sz w:val="24"/>
                <w:szCs w:val="24"/>
                <w:rtl/>
              </w:rPr>
              <w:t xml:space="preserve"> פגיעה בחיי הדת וברגשות הדתיים של היהודים; מתח בין היהודים לנכרים (כיוון שהשלטון הרומי חיזוק את מעמד האוכלוסייה הלא יהודית); מצוקה כלכלית, מעשי העושק של הנציבים; תסיסה משיחית והתגברות תופעות משיחיות בין היהודים; התגברות הקנאות הקיצונית ורוח המרד.</w:t>
            </w:r>
          </w:p>
        </w:tc>
      </w:tr>
      <w:tr w:rsidR="002F5AF9" w14:paraId="3CDEB45A" w14:textId="77777777">
        <w:tc>
          <w:tcPr>
            <w:tcW w:w="3923" w:type="dxa"/>
          </w:tcPr>
          <w:p w14:paraId="7C48FE82" w14:textId="77777777" w:rsidR="002F5AF9" w:rsidRDefault="00000000">
            <w:pPr>
              <w:spacing w:line="360" w:lineRule="auto"/>
              <w:ind w:left="3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ה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  <w:rtl/>
              </w:rPr>
              <w:t>תוצאות המרד וחורבן בית המקדש</w:t>
            </w:r>
          </w:p>
          <w:p w14:paraId="1758C780" w14:textId="77777777" w:rsidR="002F5A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rtl/>
              </w:rPr>
              <w:t>פרק חמישי: בין ייאוש לבנייה: מירושלים ליבנה</w:t>
            </w:r>
          </w:p>
          <w:p w14:paraId="43EA4028" w14:textId="77777777" w:rsidR="002F5AF9" w:rsidRDefault="002F5AF9">
            <w:pPr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</w:tcPr>
          <w:p w14:paraId="0CAC2363" w14:textId="77777777" w:rsidR="002F5AF9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lastRenderedPageBreak/>
              <w:t>תוצאות המרד: חורבן  ירושלים וחורבן בית המקדש שהיה המרכז הדתי , משפטי, מדיני;  הרס דמוגרפי - דלדול אוכלוסין; הרס כלכלי; היעלמות מעמדות חברתיים; אבדן המנהיגות הדתית; שינוי במעמדה של יהודה לאחר החורבן.</w:t>
            </w:r>
          </w:p>
          <w:p w14:paraId="42D6532C" w14:textId="77777777" w:rsidR="002F5AF9" w:rsidRDefault="00000000">
            <w:pPr>
              <w:spacing w:after="20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lastRenderedPageBreak/>
              <w:t>. המשבר שנוצר בחברה היהודית עקב חורבן בית המקדש והסכנות שנשקפו לחברה היהודית כתוצאה מהמשבר.</w:t>
            </w:r>
          </w:p>
          <w:p w14:paraId="3341A064" w14:textId="77777777" w:rsidR="002F5AF9" w:rsidRDefault="00000000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אווירת הייאוש והמשבר עקב התבוסה ותקנות הכיבוש שהנהיגו הרומאים</w:t>
            </w:r>
          </w:p>
          <w:p w14:paraId="77B2FB42" w14:textId="77777777" w:rsidR="002F5AF9" w:rsidRDefault="00000000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השלכות אובדן המרכז של הציבור היהודי (ההשלכות הדתיות והמוסדיות)</w:t>
            </w:r>
          </w:p>
          <w:p w14:paraId="285E1880" w14:textId="77777777" w:rsidR="002F5AF9" w:rsidRDefault="00000000">
            <w:pPr>
              <w:numPr>
                <w:ilvl w:val="0"/>
                <w:numId w:val="3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החשש מפני הכחדת הישוב בא"י והכחדת העם היהודי.</w:t>
            </w:r>
          </w:p>
        </w:tc>
      </w:tr>
      <w:tr w:rsidR="002F5AF9" w14:paraId="18CDD4DC" w14:textId="77777777">
        <w:tc>
          <w:tcPr>
            <w:tcW w:w="3923" w:type="dxa"/>
          </w:tcPr>
          <w:p w14:paraId="46B9AFF8" w14:textId="77777777" w:rsidR="002F5AF9" w:rsidRDefault="002F5AF9">
            <w:pPr>
              <w:spacing w:line="360" w:lineRule="auto"/>
              <w:ind w:left="3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</w:tcPr>
          <w:p w14:paraId="5CA09DAD" w14:textId="77777777" w:rsidR="002F5AF9" w:rsidRDefault="0000000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נושאי בחירה</w:t>
            </w:r>
          </w:p>
        </w:tc>
      </w:tr>
      <w:tr w:rsidR="002F5AF9" w14:paraId="16888773" w14:textId="77777777">
        <w:tc>
          <w:tcPr>
            <w:tcW w:w="3923" w:type="dxa"/>
          </w:tcPr>
          <w:p w14:paraId="2B6BBBB0" w14:textId="77777777" w:rsidR="002F5A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rtl/>
              </w:rPr>
              <w:t>פרק חמישי: בין ייאוש לבנייה: מירושלים ליבנה</w:t>
            </w:r>
          </w:p>
          <w:p w14:paraId="5F0C1884" w14:textId="77777777" w:rsidR="002F5A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7"/>
              </w:tabs>
              <w:spacing w:before="20" w:after="20"/>
              <w:ind w:left="397" w:hanging="3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א.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ab/>
              <w:t>רבן יוחנן בן זכאי והקמת המרכז ביבנה</w:t>
            </w:r>
          </w:p>
          <w:p w14:paraId="6E156807" w14:textId="77777777" w:rsidR="002F5AF9" w:rsidRDefault="002F5AF9">
            <w:pPr>
              <w:rPr>
                <w:b/>
                <w:sz w:val="24"/>
                <w:szCs w:val="24"/>
              </w:rPr>
            </w:pPr>
          </w:p>
        </w:tc>
        <w:tc>
          <w:tcPr>
            <w:tcW w:w="10627" w:type="dxa"/>
            <w:vMerge w:val="restart"/>
          </w:tcPr>
          <w:p w14:paraId="4644B9D9" w14:textId="77777777" w:rsidR="002F5AF9" w:rsidRDefault="00000000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2. בניית המרכז ביבנה: עיצוב חיים יהודיים ללא מקדש; יצירת גורמים מלכדים חדשים: תקנות חדשות 'זכר לחורבן', בית הכנסת, לימוד התורה והתפילה</w:t>
            </w:r>
          </w:p>
          <w:p w14:paraId="559A837C" w14:textId="77777777" w:rsidR="002F5AF9" w:rsidRDefault="00000000">
            <w:p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כינון החיים הציבוריים ועיצוב מחדש של החיים היהודיים ללא  בית המקדש:</w:t>
            </w:r>
          </w:p>
          <w:p w14:paraId="23B31B18" w14:textId="77777777" w:rsidR="002F5AF9" w:rsidRDefault="00000000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קביעת מיקומו של בית הכנסת כמקום פולחן במקום בית המקדש.</w:t>
            </w:r>
          </w:p>
          <w:p w14:paraId="2923228A" w14:textId="77777777" w:rsidR="002F5AF9" w:rsidRDefault="00000000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קביעת דרכי כפרת עוונות ופולחן כחלופה להקרבת הקורבנות (התפילה, המצוות, התשובה ומעשי החסד, הניתנים לביצוע על ידי כל אדם). </w:t>
            </w:r>
          </w:p>
          <w:p w14:paraId="43F0D229" w14:textId="77777777" w:rsidR="002F5AF9" w:rsidRDefault="00000000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התקנות העיקריות שתוקנו ביבנה (על ידי </w:t>
            </w:r>
            <w:proofErr w:type="spellStart"/>
            <w:r>
              <w:rPr>
                <w:sz w:val="24"/>
                <w:szCs w:val="24"/>
                <w:rtl/>
              </w:rPr>
              <w:t>ריב"ז</w:t>
            </w:r>
            <w:proofErr w:type="spellEnd"/>
            <w:r>
              <w:rPr>
                <w:sz w:val="24"/>
                <w:szCs w:val="24"/>
                <w:rtl/>
              </w:rPr>
              <w:t xml:space="preserve"> ורבן גמליאל)  ועיצבו מחדש את החיים היהודיים (</w:t>
            </w:r>
            <w:r>
              <w:rPr>
                <w:b/>
                <w:sz w:val="24"/>
                <w:szCs w:val="24"/>
                <w:rtl/>
              </w:rPr>
              <w:t>'זכר למקדש'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  <w:rtl/>
              </w:rPr>
              <w:t>'זכר לחורבן'</w:t>
            </w:r>
            <w:r>
              <w:rPr>
                <w:sz w:val="24"/>
                <w:szCs w:val="24"/>
              </w:rPr>
              <w:t xml:space="preserve">). </w:t>
            </w:r>
            <w:r>
              <w:rPr>
                <w:b/>
                <w:color w:val="538135"/>
                <w:sz w:val="24"/>
                <w:szCs w:val="24"/>
                <w:rtl/>
              </w:rPr>
              <w:t>יש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לבחור 2 דוגמאות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ולהסביר – במה היו שונות מהנהוג בבית המקדש טרם החורבן, ומה תרומתן לעיצוב מחדש של החיים היהודיים</w:t>
            </w:r>
            <w:r>
              <w:rPr>
                <w:color w:val="538135"/>
                <w:sz w:val="24"/>
                <w:szCs w:val="24"/>
              </w:rPr>
              <w:t>.</w:t>
            </w:r>
          </w:p>
          <w:p w14:paraId="08BB5A6C" w14:textId="77777777" w:rsidR="002F5AF9" w:rsidRDefault="002F5AF9">
            <w:pPr>
              <w:rPr>
                <w:b/>
                <w:sz w:val="24"/>
                <w:szCs w:val="24"/>
              </w:rPr>
            </w:pPr>
          </w:p>
        </w:tc>
      </w:tr>
      <w:tr w:rsidR="002F5AF9" w14:paraId="7431FAF2" w14:textId="77777777">
        <w:tc>
          <w:tcPr>
            <w:tcW w:w="3923" w:type="dxa"/>
          </w:tcPr>
          <w:p w14:paraId="0EC112AF" w14:textId="77777777" w:rsidR="002F5AF9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rtl/>
              </w:rPr>
              <w:t>דרכי התמודדות עם משבר</w:t>
            </w:r>
            <w:r>
              <w:rPr>
                <w:rFonts w:ascii="Arial" w:eastAsia="Arial" w:hAnsi="Arial" w:cs="Arial"/>
                <w:color w:val="000000"/>
                <w:rtl/>
              </w:rPr>
              <w:t> לאומי ואישי בעקבות חורבן הבית.</w:t>
            </w:r>
          </w:p>
          <w:p w14:paraId="1FF67721" w14:textId="77777777" w:rsidR="002F5AF9" w:rsidRDefault="002F5AF9">
            <w:pPr>
              <w:rPr>
                <w:rFonts w:ascii="Arial" w:eastAsia="Arial" w:hAnsi="Arial" w:cs="Arial"/>
                <w:color w:val="000000"/>
              </w:rPr>
            </w:pPr>
          </w:p>
          <w:p w14:paraId="4D44DF44" w14:textId="77777777" w:rsidR="002F5AF9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rtl/>
              </w:rPr>
              <w:t>בין ייאוש לבנייה – הסיכונים והסיכויים שבכל אחת מן הגישות.</w:t>
            </w:r>
          </w:p>
          <w:p w14:paraId="663608F8" w14:textId="77777777" w:rsidR="002F5AF9" w:rsidRDefault="00000000">
            <w:pPr>
              <w:rPr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rtl/>
              </w:rPr>
              <w:t>בניית המרכז ביבנה תוך שמירה על זכר המקדש</w:t>
            </w:r>
          </w:p>
          <w:p w14:paraId="4203070F" w14:textId="77777777" w:rsidR="002F5AF9" w:rsidRDefault="002F5AF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627" w:type="dxa"/>
            <w:vMerge/>
          </w:tcPr>
          <w:p w14:paraId="093292AF" w14:textId="77777777" w:rsidR="002F5AF9" w:rsidRDefault="002F5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2F5AF9" w14:paraId="3D354337" w14:textId="77777777">
        <w:tc>
          <w:tcPr>
            <w:tcW w:w="3923" w:type="dxa"/>
          </w:tcPr>
          <w:p w14:paraId="3C74F8AC" w14:textId="77777777" w:rsidR="002F5AF9" w:rsidRDefault="00000000">
            <w:pPr>
              <w:rPr>
                <w:b/>
              </w:rPr>
            </w:pPr>
            <w:r>
              <w:rPr>
                <w:b/>
                <w:sz w:val="24"/>
                <w:szCs w:val="24"/>
                <w:rtl/>
              </w:rPr>
              <w:t>מרד בר כוכבא</w:t>
            </w:r>
            <w:r>
              <w:rPr>
                <w:b/>
              </w:rPr>
              <w:t xml:space="preserve"> – </w:t>
            </w:r>
          </w:p>
          <w:p w14:paraId="6E74A18B" w14:textId="77777777" w:rsidR="002F5AF9" w:rsidRDefault="002F5AF9">
            <w:pPr>
              <w:rPr>
                <w:b/>
              </w:rPr>
            </w:pPr>
          </w:p>
        </w:tc>
        <w:tc>
          <w:tcPr>
            <w:tcW w:w="10627" w:type="dxa"/>
          </w:tcPr>
          <w:p w14:paraId="0B664125" w14:textId="77777777" w:rsidR="002F5AF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1.ההסברים השונים לפרוץ המרד</w:t>
            </w:r>
          </w:p>
          <w:p w14:paraId="6CDDCE6D" w14:textId="77777777" w:rsidR="002F5AF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2 .היקף המרד, האירועים העיקריים בו, תוצאות המרד והשפעותיו</w:t>
            </w:r>
          </w:p>
          <w:p w14:paraId="14452F53" w14:textId="77777777" w:rsidR="002F5AF9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3 .דמותו של בר כוכבא כפי שעולה מהמקורות</w:t>
            </w:r>
          </w:p>
        </w:tc>
      </w:tr>
    </w:tbl>
    <w:p w14:paraId="3F607A6F" w14:textId="77777777" w:rsidR="002F5AF9" w:rsidRDefault="002F5AF9">
      <w:pPr>
        <w:rPr>
          <w:color w:val="262626"/>
          <w:sz w:val="44"/>
          <w:szCs w:val="44"/>
        </w:rPr>
      </w:pPr>
    </w:p>
    <w:p w14:paraId="7345CBEA" w14:textId="77777777" w:rsidR="002F5AF9" w:rsidRDefault="002F5AF9">
      <w:pPr>
        <w:rPr>
          <w:color w:val="262626"/>
          <w:sz w:val="44"/>
          <w:szCs w:val="44"/>
        </w:rPr>
      </w:pPr>
    </w:p>
    <w:p w14:paraId="57ACB6CF" w14:textId="77777777" w:rsidR="002F5AF9" w:rsidRDefault="002F5AF9">
      <w:pPr>
        <w:rPr>
          <w:color w:val="262626"/>
          <w:sz w:val="44"/>
          <w:szCs w:val="44"/>
        </w:rPr>
      </w:pPr>
    </w:p>
    <w:p w14:paraId="17EE0522" w14:textId="77777777" w:rsidR="002F5AF9" w:rsidRDefault="00000000">
      <w:pPr>
        <w:spacing w:line="240" w:lineRule="auto"/>
        <w:jc w:val="center"/>
        <w:rPr>
          <w:rFonts w:ascii="David" w:eastAsia="David" w:hAnsi="David" w:cs="David"/>
          <w:sz w:val="36"/>
          <w:szCs w:val="36"/>
        </w:rPr>
      </w:pPr>
      <w:r>
        <w:rPr>
          <w:rFonts w:ascii="David" w:eastAsia="David" w:hAnsi="David" w:cs="David"/>
          <w:b/>
          <w:sz w:val="36"/>
          <w:szCs w:val="36"/>
          <w:rtl/>
        </w:rPr>
        <w:t>סילבוס  נאציזם, אנטישמיות ושואה</w:t>
      </w:r>
      <w:r>
        <w:rPr>
          <w:rFonts w:ascii="David" w:eastAsia="David" w:hAnsi="David" w:cs="David"/>
          <w:sz w:val="36"/>
          <w:szCs w:val="36"/>
        </w:rPr>
        <w:t xml:space="preserve"> </w:t>
      </w:r>
    </w:p>
    <w:p w14:paraId="2147AC57" w14:textId="77777777" w:rsidR="002F5AF9" w:rsidRDefault="00000000">
      <w:pPr>
        <w:spacing w:line="240" w:lineRule="auto"/>
        <w:jc w:val="center"/>
        <w:rPr>
          <w:rFonts w:ascii="David" w:eastAsia="David" w:hAnsi="David" w:cs="David"/>
          <w:sz w:val="36"/>
          <w:szCs w:val="36"/>
        </w:rPr>
      </w:pPr>
      <w:r>
        <w:rPr>
          <w:rFonts w:ascii="David" w:eastAsia="David" w:hAnsi="David" w:cs="David"/>
          <w:sz w:val="36"/>
          <w:szCs w:val="36"/>
        </w:rPr>
        <w:t xml:space="preserve">  </w:t>
      </w:r>
    </w:p>
    <w:tbl>
      <w:tblPr>
        <w:tblStyle w:val="a6"/>
        <w:bidiVisual/>
        <w:tblW w:w="147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71"/>
        <w:gridCol w:w="10633"/>
        <w:gridCol w:w="984"/>
      </w:tblGrid>
      <w:tr w:rsidR="002F5AF9" w14:paraId="5C72C928" w14:textId="77777777">
        <w:trPr>
          <w:trHeight w:val="540"/>
        </w:trPr>
        <w:tc>
          <w:tcPr>
            <w:tcW w:w="3171" w:type="dxa"/>
          </w:tcPr>
          <w:p w14:paraId="55AB47EA" w14:textId="77777777" w:rsidR="002F5AF9" w:rsidRDefault="00000000">
            <w:pPr>
              <w:rPr>
                <w:b/>
              </w:rPr>
            </w:pPr>
            <w:r>
              <w:rPr>
                <w:b/>
                <w:rtl/>
              </w:rPr>
              <w:t>נושאים</w:t>
            </w:r>
          </w:p>
        </w:tc>
        <w:tc>
          <w:tcPr>
            <w:tcW w:w="10633" w:type="dxa"/>
          </w:tcPr>
          <w:p w14:paraId="26F2D2B2" w14:textId="77777777" w:rsidR="002F5AF9" w:rsidRDefault="00000000">
            <w:pPr>
              <w:rPr>
                <w:b/>
              </w:rPr>
            </w:pPr>
            <w:r>
              <w:rPr>
                <w:b/>
                <w:rtl/>
              </w:rPr>
              <w:t>מושגי מפתח</w:t>
            </w:r>
          </w:p>
        </w:tc>
        <w:tc>
          <w:tcPr>
            <w:tcW w:w="984" w:type="dxa"/>
          </w:tcPr>
          <w:p w14:paraId="4C89C5B7" w14:textId="77777777" w:rsidR="002F5AF9" w:rsidRDefault="002F5AF9">
            <w:pPr>
              <w:rPr>
                <w:b/>
              </w:rPr>
            </w:pPr>
          </w:p>
        </w:tc>
      </w:tr>
      <w:tr w:rsidR="002F5AF9" w14:paraId="5944D20F" w14:textId="77777777">
        <w:trPr>
          <w:trHeight w:val="1067"/>
        </w:trPr>
        <w:tc>
          <w:tcPr>
            <w:tcW w:w="3171" w:type="dxa"/>
          </w:tcPr>
          <w:p w14:paraId="3A9BEEE7" w14:textId="77777777" w:rsidR="002F5AF9" w:rsidRDefault="002F5AF9">
            <w:pPr>
              <w:spacing w:after="160"/>
              <w:rPr>
                <w:rFonts w:ascii="David" w:eastAsia="David" w:hAnsi="David" w:cs="David"/>
                <w:b/>
                <w:sz w:val="28"/>
                <w:szCs w:val="28"/>
              </w:rPr>
            </w:pPr>
          </w:p>
          <w:p w14:paraId="0B28F8ED" w14:textId="77777777" w:rsidR="002F5AF9" w:rsidRDefault="00000000">
            <w:pPr>
              <w:spacing w:after="160"/>
              <w:rPr>
                <w:rFonts w:ascii="David" w:eastAsia="David" w:hAnsi="David" w:cs="David"/>
                <w:b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 xml:space="preserve">1. א. האידיאולוגיה הנאצית </w:t>
            </w:r>
          </w:p>
          <w:p w14:paraId="3DE249E1" w14:textId="77777777" w:rsidR="002F5AF9" w:rsidRDefault="00000000">
            <w:pPr>
              <w:rPr>
                <w:rFonts w:ascii="David" w:eastAsia="David" w:hAnsi="David" w:cs="David"/>
                <w:b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תקופה ראשונה 1933 – 1939</w:t>
            </w:r>
          </w:p>
        </w:tc>
        <w:tc>
          <w:tcPr>
            <w:tcW w:w="10633" w:type="dxa"/>
          </w:tcPr>
          <w:p w14:paraId="2D3915E8" w14:textId="77777777" w:rsidR="002F5AF9" w:rsidRDefault="00000000">
            <w:pPr>
              <w:rPr>
                <w:rFonts w:ascii="David" w:eastAsia="David" w:hAnsi="David" w:cs="David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עיקרי האידיאולוגיה הנאצית</w:t>
            </w:r>
            <w:r>
              <w:rPr>
                <w:rFonts w:ascii="David" w:eastAsia="David" w:hAnsi="David" w:cs="David"/>
                <w:sz w:val="28"/>
                <w:szCs w:val="28"/>
                <w:rtl/>
              </w:rPr>
              <w:t xml:space="preserve"> – תורת הגזע. דימוי היהודי באנטישמיות הנאצית, (</w:t>
            </w:r>
            <w:proofErr w:type="spellStart"/>
            <w:r>
              <w:rPr>
                <w:rFonts w:ascii="David" w:eastAsia="David" w:hAnsi="David" w:cs="David"/>
                <w:sz w:val="28"/>
                <w:szCs w:val="28"/>
                <w:rtl/>
              </w:rPr>
              <w:t>ממולץ</w:t>
            </w:r>
            <w:proofErr w:type="spellEnd"/>
            <w:r>
              <w:rPr>
                <w:rFonts w:ascii="David" w:eastAsia="David" w:hAnsi="David" w:cs="David"/>
                <w:sz w:val="28"/>
                <w:szCs w:val="28"/>
                <w:rtl/>
              </w:rPr>
              <w:t xml:space="preserve"> לדון באנטישמיות המודרנית בגלגולה הנאצי ומרכזיות השאלה היהודית באידיאולוגיה זו)</w:t>
            </w:r>
            <w:r>
              <w:rPr>
                <w:rFonts w:ascii="David" w:eastAsia="David" w:hAnsi="David" w:cs="David"/>
                <w:b/>
                <w:sz w:val="28"/>
                <w:szCs w:val="28"/>
              </w:rPr>
              <w:t>.</w:t>
            </w:r>
            <w:r>
              <w:rPr>
                <w:rFonts w:ascii="David" w:eastAsia="David" w:hAnsi="David" w:cs="David"/>
                <w:sz w:val="28"/>
                <w:szCs w:val="28"/>
                <w:rtl/>
              </w:rPr>
              <w:t xml:space="preserve"> מקומו של המנהיג – 'הפיהרר </w:t>
            </w:r>
            <w:proofErr w:type="spellStart"/>
            <w:r>
              <w:rPr>
                <w:rFonts w:ascii="David" w:eastAsia="David" w:hAnsi="David" w:cs="David"/>
                <w:sz w:val="28"/>
                <w:szCs w:val="28"/>
                <w:rtl/>
              </w:rPr>
              <w:t>פרנציפ</w:t>
            </w:r>
            <w:proofErr w:type="spellEnd"/>
            <w:r>
              <w:rPr>
                <w:rFonts w:ascii="David" w:eastAsia="David" w:hAnsi="David" w:cs="David"/>
                <w:sz w:val="28"/>
                <w:szCs w:val="28"/>
                <w:rtl/>
              </w:rPr>
              <w:t>', מרחב המחיה, התנגדות לתיאוריות שעמדו בבסיס המשטר הדמוקרטי והקומוניסטי.</w:t>
            </w:r>
          </w:p>
        </w:tc>
        <w:tc>
          <w:tcPr>
            <w:tcW w:w="984" w:type="dxa"/>
          </w:tcPr>
          <w:p w14:paraId="020A1E9B" w14:textId="77777777" w:rsidR="002F5AF9" w:rsidRDefault="002F5AF9"/>
        </w:tc>
      </w:tr>
      <w:tr w:rsidR="002F5AF9" w14:paraId="13AA4705" w14:textId="77777777">
        <w:trPr>
          <w:trHeight w:val="701"/>
        </w:trPr>
        <w:tc>
          <w:tcPr>
            <w:tcW w:w="3171" w:type="dxa"/>
            <w:vMerge w:val="restart"/>
          </w:tcPr>
          <w:p w14:paraId="403B7AAB" w14:textId="77777777" w:rsidR="002F5AF9" w:rsidRDefault="00000000">
            <w:pPr>
              <w:rPr>
                <w:rFonts w:ascii="David" w:eastAsia="David" w:hAnsi="David" w:cs="David"/>
                <w:b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 xml:space="preserve">1941 ראשית המלחמה עד מבצע </w:t>
            </w:r>
            <w:proofErr w:type="spellStart"/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ברברוסה</w:t>
            </w:r>
            <w:proofErr w:type="spellEnd"/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, יוני 1941 והמדיניות כלפי היהודים באזורי-הכיבוש</w:t>
            </w:r>
            <w:r>
              <w:rPr>
                <w:color w:val="262626"/>
                <w:sz w:val="32"/>
                <w:szCs w:val="32"/>
              </w:rPr>
              <w:t>.</w:t>
            </w:r>
          </w:p>
          <w:p w14:paraId="44DDCE35" w14:textId="77777777" w:rsidR="002F5AF9" w:rsidRDefault="00000000">
            <w:pPr>
              <w:rPr>
                <w:rFonts w:ascii="David" w:eastAsia="David" w:hAnsi="David" w:cs="David"/>
                <w:b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 xml:space="preserve">1 .המדיניות כלפי יהודי פולין: </w:t>
            </w:r>
          </w:p>
          <w:p w14:paraId="0C3CAA2A" w14:textId="77777777" w:rsidR="002F5AF9" w:rsidRDefault="00000000">
            <w:pPr>
              <w:rPr>
                <w:rFonts w:ascii="David" w:eastAsia="David" w:hAnsi="David" w:cs="David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2 .החיים בגטו:</w:t>
            </w:r>
          </w:p>
          <w:p w14:paraId="0E58B7BF" w14:textId="77777777" w:rsidR="002F5AF9" w:rsidRDefault="002F5AF9">
            <w:pPr>
              <w:rPr>
                <w:rFonts w:ascii="David" w:eastAsia="David" w:hAnsi="David" w:cs="David"/>
                <w:b/>
                <w:sz w:val="28"/>
                <w:szCs w:val="28"/>
              </w:rPr>
            </w:pPr>
          </w:p>
        </w:tc>
        <w:tc>
          <w:tcPr>
            <w:tcW w:w="10633" w:type="dxa"/>
          </w:tcPr>
          <w:p w14:paraId="7C8DCD7C" w14:textId="77777777" w:rsidR="002F5AF9" w:rsidRDefault="00000000">
            <w:pPr>
              <w:spacing w:line="256" w:lineRule="auto"/>
              <w:rPr>
                <w:rFonts w:ascii="David" w:eastAsia="David" w:hAnsi="David" w:cs="David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u w:val="single"/>
                <w:rtl/>
              </w:rPr>
              <w:t>השפעת הכיבוש הנאצי על חיי היהודים בפולין</w:t>
            </w:r>
            <w:r>
              <w:rPr>
                <w:rFonts w:ascii="David" w:eastAsia="David" w:hAnsi="David" w:cs="David"/>
                <w:sz w:val="28"/>
                <w:szCs w:val="28"/>
                <w:rtl/>
              </w:rPr>
              <w:t xml:space="preserve"> - מטרות מוצהרות והסברים להקמת הגטאות. תהליך הקמת הגטו, דרך ניהול הגטו ודרכי הפיקוח עליו. התפקידים שהוטלו על </w:t>
            </w:r>
            <w:proofErr w:type="spellStart"/>
            <w:r>
              <w:rPr>
                <w:rFonts w:ascii="David" w:eastAsia="David" w:hAnsi="David" w:cs="David"/>
                <w:sz w:val="28"/>
                <w:szCs w:val="28"/>
                <w:rtl/>
              </w:rPr>
              <w:t>היודנראטים</w:t>
            </w:r>
            <w:proofErr w:type="spellEnd"/>
            <w:r>
              <w:rPr>
                <w:rFonts w:ascii="David" w:eastAsia="David" w:hAnsi="David" w:cs="David"/>
                <w:sz w:val="28"/>
                <w:szCs w:val="28"/>
                <w:rtl/>
              </w:rPr>
              <w:t xml:space="preserve"> ודרכי מימושם. </w:t>
            </w:r>
          </w:p>
        </w:tc>
        <w:tc>
          <w:tcPr>
            <w:tcW w:w="984" w:type="dxa"/>
          </w:tcPr>
          <w:p w14:paraId="6711099A" w14:textId="77777777" w:rsidR="002F5AF9" w:rsidRDefault="002F5AF9"/>
        </w:tc>
      </w:tr>
      <w:tr w:rsidR="002F5AF9" w14:paraId="3F07D773" w14:textId="77777777">
        <w:trPr>
          <w:trHeight w:val="1418"/>
        </w:trPr>
        <w:tc>
          <w:tcPr>
            <w:tcW w:w="3171" w:type="dxa"/>
            <w:vMerge/>
          </w:tcPr>
          <w:p w14:paraId="067337C7" w14:textId="77777777" w:rsidR="002F5AF9" w:rsidRDefault="002F5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633" w:type="dxa"/>
          </w:tcPr>
          <w:p w14:paraId="0D2F802C" w14:textId="77777777" w:rsidR="002F5AF9" w:rsidRDefault="00000000">
            <w:pPr>
              <w:rPr>
                <w:rFonts w:ascii="David" w:eastAsia="David" w:hAnsi="David" w:cs="David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תנאי החיים בגטו</w:t>
            </w:r>
            <w:r>
              <w:rPr>
                <w:rFonts w:ascii="David" w:eastAsia="David" w:hAnsi="David" w:cs="David"/>
                <w:sz w:val="28"/>
                <w:szCs w:val="28"/>
                <w:rtl/>
              </w:rPr>
              <w:t xml:space="preserve"> (הצפיפות, הרעב ומקורות התעסוקה).</w:t>
            </w:r>
          </w:p>
          <w:p w14:paraId="7254D845" w14:textId="77777777" w:rsidR="002F5AF9" w:rsidRDefault="00000000">
            <w:pPr>
              <w:rPr>
                <w:rFonts w:ascii="David" w:eastAsia="David" w:hAnsi="David" w:cs="David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השפעת תנאי החיים על הפרט, על המשפחה ועל החברה היהודית</w:t>
            </w:r>
            <w:r>
              <w:rPr>
                <w:rFonts w:ascii="David" w:eastAsia="David" w:hAnsi="David" w:cs="David"/>
                <w:sz w:val="28"/>
                <w:szCs w:val="28"/>
              </w:rPr>
              <w:t>.</w:t>
            </w:r>
          </w:p>
          <w:p w14:paraId="3BF9C96D" w14:textId="77777777" w:rsidR="002F5AF9" w:rsidRDefault="00000000">
            <w:pPr>
              <w:rPr>
                <w:rFonts w:ascii="David" w:eastAsia="David" w:hAnsi="David" w:cs="David"/>
                <w:sz w:val="28"/>
                <w:szCs w:val="28"/>
              </w:rPr>
            </w:pPr>
            <w:r>
              <w:rPr>
                <w:rFonts w:ascii="David" w:eastAsia="David" w:hAnsi="David" w:cs="David"/>
                <w:b/>
                <w:sz w:val="28"/>
                <w:szCs w:val="28"/>
                <w:rtl/>
              </w:rPr>
              <w:t>דרכי ההתמודדות של היהודים בגטאות</w:t>
            </w:r>
            <w:r>
              <w:rPr>
                <w:rFonts w:ascii="David" w:eastAsia="David" w:hAnsi="David" w:cs="David"/>
                <w:sz w:val="28"/>
                <w:szCs w:val="28"/>
                <w:rtl/>
              </w:rPr>
              <w:t>– הישרדות, "קידוש החיים", ארגונים שפעלו בגטאות, תנועות הנוער – מאפייני פעולתן</w:t>
            </w:r>
            <w:r>
              <w:rPr>
                <w:rFonts w:ascii="Rockwell" w:eastAsia="Rockwell" w:hAnsi="Rockwell" w:cs="Rockwell"/>
                <w:color w:val="000000"/>
                <w:sz w:val="24"/>
                <w:szCs w:val="24"/>
              </w:rPr>
              <w:t>. </w:t>
            </w:r>
          </w:p>
        </w:tc>
        <w:tc>
          <w:tcPr>
            <w:tcW w:w="984" w:type="dxa"/>
          </w:tcPr>
          <w:p w14:paraId="78B125E6" w14:textId="77777777" w:rsidR="002F5AF9" w:rsidRDefault="002F5AF9"/>
        </w:tc>
      </w:tr>
    </w:tbl>
    <w:p w14:paraId="2AE12A06" w14:textId="77777777" w:rsidR="002F5AF9" w:rsidRDefault="002F5AF9">
      <w:pPr>
        <w:spacing w:line="240" w:lineRule="auto"/>
      </w:pPr>
    </w:p>
    <w:p w14:paraId="1B15FA74" w14:textId="77777777" w:rsidR="002F5AF9" w:rsidRDefault="002F5AF9">
      <w:pPr>
        <w:rPr>
          <w:color w:val="262626"/>
          <w:sz w:val="44"/>
          <w:szCs w:val="44"/>
        </w:rPr>
      </w:pPr>
    </w:p>
    <w:p w14:paraId="3535F88D" w14:textId="77777777" w:rsidR="002F5AF9" w:rsidRDefault="002F5AF9">
      <w:pPr>
        <w:rPr>
          <w:color w:val="262626"/>
          <w:sz w:val="28"/>
          <w:szCs w:val="28"/>
        </w:rPr>
      </w:pPr>
    </w:p>
    <w:sectPr w:rsidR="002F5AF9">
      <w:pgSz w:w="16838" w:h="11906" w:orient="landscape"/>
      <w:pgMar w:top="1800" w:right="1440" w:bottom="180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304D030-F88D-4D7A-95D6-D18D2C7EF5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FA3713-C107-41A1-BF59-F7208A429C2E}"/>
    <w:embedBold r:id="rId3" w:fontKey="{49589120-79FE-4A48-AE14-2B8AEC5520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9EAAE5-DB1D-40FA-90C7-85660DE8BB57}"/>
    <w:embedItalic r:id="rId5" w:fontKey="{A7770A10-B474-42B2-A515-E84BC0AF5F5C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6" w:fontKey="{F5B35B3C-8889-4ED4-AFC8-2CC55769126A}"/>
    <w:embedBold r:id="rId7" w:fontKey="{8D50AFC5-4E9A-45FD-9253-06D390CC7BE4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8" w:fontKey="{EE6CDC08-9364-4A94-A479-B4647A958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3B1D39C-FFEB-4A95-851A-A1BA994340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1182"/>
    <w:multiLevelType w:val="multilevel"/>
    <w:tmpl w:val="BECC5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C20791"/>
    <w:multiLevelType w:val="multilevel"/>
    <w:tmpl w:val="CA163A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DB6B35"/>
    <w:multiLevelType w:val="multilevel"/>
    <w:tmpl w:val="B0E4C87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41F69"/>
    <w:multiLevelType w:val="multilevel"/>
    <w:tmpl w:val="8B7EC6B0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68217C"/>
    <w:multiLevelType w:val="multilevel"/>
    <w:tmpl w:val="A05436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398232">
    <w:abstractNumId w:val="2"/>
  </w:num>
  <w:num w:numId="2" w16cid:durableId="745807262">
    <w:abstractNumId w:val="0"/>
  </w:num>
  <w:num w:numId="3" w16cid:durableId="842860631">
    <w:abstractNumId w:val="3"/>
  </w:num>
  <w:num w:numId="4" w16cid:durableId="1730955267">
    <w:abstractNumId w:val="1"/>
  </w:num>
  <w:num w:numId="5" w16cid:durableId="15686077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AF9"/>
    <w:rsid w:val="002C30FB"/>
    <w:rsid w:val="002F5AF9"/>
    <w:rsid w:val="00B3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AF9CA"/>
  <w15:docId w15:val="{35287B84-17F9-4315-88E4-933C6999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578</Words>
  <Characters>2891</Characters>
  <Application>Microsoft Office Word</Application>
  <DocSecurity>0</DocSecurity>
  <Lines>24</Lines>
  <Paragraphs>6</Paragraphs>
  <ScaleCrop>false</ScaleCrop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</dc:creator>
  <cp:lastModifiedBy>Najib Talhami</cp:lastModifiedBy>
  <cp:revision>2</cp:revision>
  <dcterms:created xsi:type="dcterms:W3CDTF">2025-08-21T10:22:00Z</dcterms:created>
  <dcterms:modified xsi:type="dcterms:W3CDTF">2025-08-21T10:22:00Z</dcterms:modified>
</cp:coreProperties>
</file>