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F50354" w14:textId="77777777" w:rsidR="000E596B" w:rsidRDefault="00000000">
      <w:pPr>
        <w:spacing w:after="120" w:line="240" w:lineRule="auto"/>
        <w:jc w:val="center"/>
        <w:rPr>
          <w:b/>
          <w:color w:val="000000"/>
          <w:sz w:val="28"/>
          <w:szCs w:val="28"/>
        </w:rPr>
      </w:pPr>
      <w:r>
        <w:fldChar w:fldCharType="begin"/>
      </w:r>
      <w:r>
        <w:instrText>HYPERLINK "https://www.restart-tech.co.il/%D7%90%D7%99%D7%9A-%D7%A0%D7%A8%D7%90%D7%99%D7%AA-%D7%91%D7%A4%D7%95%D7%A2%D7%9C-%D7%94%D7%95%D7%A8%D7%90%D7%94-%D7%9E%D7%A4%D7%95%D7%A8%D7%A9%D7%AA-%D7%95%D7%99%D7%A9%D7%99%D7%A8%D7%94/" \h</w:instrText>
      </w:r>
      <w:r>
        <w:fldChar w:fldCharType="separate"/>
      </w:r>
      <w:r>
        <w:rPr>
          <w:b/>
          <w:color w:val="0563C1"/>
          <w:sz w:val="28"/>
          <w:szCs w:val="28"/>
          <w:u w:val="single"/>
          <w:rtl/>
        </w:rPr>
        <w:t>הוראה</w:t>
      </w:r>
      <w:r>
        <w:fldChar w:fldCharType="end"/>
      </w:r>
      <w:hyperlink r:id="rId5">
        <w:r>
          <w:rPr>
            <w:b/>
            <w:color w:val="0563C1"/>
            <w:sz w:val="28"/>
            <w:szCs w:val="28"/>
            <w:u w:val="single"/>
            <w:rtl/>
          </w:rPr>
          <w:t xml:space="preserve"> </w:t>
        </w:r>
      </w:hyperlink>
      <w:hyperlink r:id="rId6">
        <w:r>
          <w:rPr>
            <w:b/>
            <w:color w:val="0563C1"/>
            <w:sz w:val="28"/>
            <w:szCs w:val="28"/>
            <w:u w:val="single"/>
            <w:rtl/>
          </w:rPr>
          <w:t>מפורשת</w:t>
        </w:r>
      </w:hyperlink>
      <w:hyperlink r:id="rId7">
        <w:r>
          <w:rPr>
            <w:b/>
            <w:color w:val="0563C1"/>
            <w:sz w:val="28"/>
            <w:szCs w:val="28"/>
            <w:u w:val="single"/>
            <w:rtl/>
          </w:rPr>
          <w:t xml:space="preserve"> </w:t>
        </w:r>
      </w:hyperlink>
      <w:hyperlink r:id="rId8">
        <w:r>
          <w:rPr>
            <w:b/>
            <w:color w:val="0563C1"/>
            <w:sz w:val="28"/>
            <w:szCs w:val="28"/>
            <w:u w:val="single"/>
            <w:rtl/>
          </w:rPr>
          <w:t>של</w:t>
        </w:r>
      </w:hyperlink>
      <w:hyperlink r:id="rId9">
        <w:r>
          <w:rPr>
            <w:b/>
            <w:color w:val="0563C1"/>
            <w:sz w:val="28"/>
            <w:szCs w:val="28"/>
            <w:u w:val="single"/>
            <w:rtl/>
          </w:rPr>
          <w:t xml:space="preserve"> </w:t>
        </w:r>
      </w:hyperlink>
      <w:hyperlink r:id="rId10">
        <w:r>
          <w:rPr>
            <w:b/>
            <w:color w:val="0563C1"/>
            <w:sz w:val="28"/>
            <w:szCs w:val="28"/>
            <w:u w:val="single"/>
            <w:rtl/>
          </w:rPr>
          <w:t>מיומנויות</w:t>
        </w:r>
      </w:hyperlink>
      <w:hyperlink r:id="rId11">
        <w:r>
          <w:rPr>
            <w:b/>
            <w:color w:val="0563C1"/>
            <w:sz w:val="28"/>
            <w:szCs w:val="28"/>
            <w:u w:val="single"/>
            <w:rtl/>
          </w:rPr>
          <w:t xml:space="preserve"> </w:t>
        </w:r>
      </w:hyperlink>
      <w:hyperlink r:id="rId12">
        <w:r>
          <w:rPr>
            <w:b/>
            <w:color w:val="0563C1"/>
            <w:sz w:val="28"/>
            <w:szCs w:val="28"/>
            <w:u w:val="single"/>
            <w:rtl/>
          </w:rPr>
          <w:t>המאה</w:t>
        </w:r>
      </w:hyperlink>
      <w:hyperlink r:id="rId13">
        <w:r>
          <w:rPr>
            <w:b/>
            <w:color w:val="0563C1"/>
            <w:sz w:val="28"/>
            <w:szCs w:val="28"/>
            <w:u w:val="single"/>
            <w:rtl/>
          </w:rPr>
          <w:t xml:space="preserve"> </w:t>
        </w:r>
      </w:hyperlink>
      <w:hyperlink r:id="rId14">
        <w:r>
          <w:rPr>
            <w:b/>
            <w:color w:val="0563C1"/>
            <w:sz w:val="28"/>
            <w:szCs w:val="28"/>
            <w:u w:val="single"/>
            <w:rtl/>
          </w:rPr>
          <w:t>ה</w:t>
        </w:r>
      </w:hyperlink>
      <w:hyperlink r:id="rId15">
        <w:r>
          <w:rPr>
            <w:b/>
            <w:color w:val="0563C1"/>
            <w:sz w:val="28"/>
            <w:szCs w:val="28"/>
            <w:u w:val="single"/>
            <w:rtl/>
          </w:rPr>
          <w:t>-21</w:t>
        </w:r>
      </w:hyperlink>
    </w:p>
    <w:p w14:paraId="5A8D6DF4" w14:textId="77777777" w:rsidR="000E596B" w:rsidRDefault="00000000">
      <w:pPr>
        <w:spacing w:before="280" w:after="120" w:line="240" w:lineRule="auto"/>
        <w:jc w:val="center"/>
        <w:rPr>
          <w:b/>
          <w:color w:val="000000"/>
          <w:sz w:val="28"/>
          <w:szCs w:val="28"/>
        </w:rPr>
      </w:pPr>
      <w:r>
        <w:rPr>
          <w:b/>
          <w:color w:val="000000"/>
          <w:sz w:val="28"/>
          <w:szCs w:val="28"/>
          <w:rtl/>
        </w:rPr>
        <w:t>בשיעורי היסטוריה</w:t>
      </w:r>
    </w:p>
    <w:p w14:paraId="7EC00B92" w14:textId="77777777" w:rsidR="000E596B" w:rsidRDefault="00000000">
      <w:pPr>
        <w:rPr>
          <w:color w:val="1B1C1D"/>
          <w:sz w:val="28"/>
          <w:szCs w:val="28"/>
        </w:rPr>
      </w:pPr>
      <w:r>
        <w:rPr>
          <w:color w:val="1B1C1D"/>
          <w:sz w:val="28"/>
          <w:szCs w:val="28"/>
          <w:rtl/>
        </w:rPr>
        <w:t>כמה פעמים אמרתם לתלמיד 'תנתח את המקור' והוא הסתכל עליכם בבלבול?</w:t>
      </w:r>
      <w:r>
        <w:rPr>
          <w:color w:val="1B1C1D"/>
          <w:sz w:val="28"/>
          <w:szCs w:val="28"/>
          <w:rtl/>
        </w:rPr>
        <w:br/>
        <w:t>או נתתם משימה ו-80% מהתלמידים לא הבינו?</w:t>
      </w:r>
    </w:p>
    <w:p w14:paraId="2888C964" w14:textId="77777777" w:rsidR="000E596B" w:rsidRDefault="00000000">
      <w:pPr>
        <w:rPr>
          <w:sz w:val="28"/>
          <w:szCs w:val="28"/>
        </w:rPr>
      </w:pPr>
      <w:r>
        <w:rPr>
          <w:sz w:val="28"/>
          <w:szCs w:val="28"/>
          <w:rtl/>
        </w:rPr>
        <w:t>האם הסיבה שלא שתפנו אותם ביעדים במיומנויות שהצבנו בשיעור שלנו?</w:t>
      </w:r>
    </w:p>
    <w:p w14:paraId="22A2C3CB" w14:textId="77777777" w:rsidR="000E596B" w:rsidRDefault="00000000">
      <w:pPr>
        <w:spacing w:before="280" w:after="240" w:line="240" w:lineRule="auto"/>
        <w:rPr>
          <w:color w:val="1B1C1D"/>
          <w:sz w:val="28"/>
          <w:szCs w:val="28"/>
        </w:rPr>
      </w:pPr>
      <w:r>
        <w:rPr>
          <w:color w:val="1B1C1D"/>
          <w:sz w:val="28"/>
          <w:szCs w:val="28"/>
          <w:rtl/>
        </w:rPr>
        <w:t xml:space="preserve">כמורה להיסטוריה בתוכנית </w:t>
      </w:r>
      <w:proofErr w:type="spellStart"/>
      <w:r>
        <w:rPr>
          <w:color w:val="1B1C1D"/>
          <w:sz w:val="28"/>
          <w:szCs w:val="28"/>
          <w:rtl/>
        </w:rPr>
        <w:t>היל"ה</w:t>
      </w:r>
      <w:proofErr w:type="spellEnd"/>
      <w:r>
        <w:rPr>
          <w:color w:val="1B1C1D"/>
          <w:sz w:val="28"/>
          <w:szCs w:val="28"/>
          <w:rtl/>
        </w:rPr>
        <w:t xml:space="preserve">, אני מאמינה בהוראה שמחברת בין התוכן השיעור לבין עולמם של התלמידים . </w:t>
      </w:r>
      <w:r>
        <w:rPr>
          <w:b/>
          <w:color w:val="1B1C1D"/>
          <w:sz w:val="28"/>
          <w:szCs w:val="28"/>
          <w:rtl/>
        </w:rPr>
        <w:t>בהוראה מפורשת</w:t>
      </w:r>
      <w:r>
        <w:rPr>
          <w:color w:val="1B1C1D"/>
          <w:sz w:val="28"/>
          <w:szCs w:val="28"/>
          <w:rtl/>
        </w:rPr>
        <w:t xml:space="preserve"> אני יכולה לשתף את התלמידים לא רק בידע אלא בתהליך החשיבה והתכנון שלי . תהליך שאפשר להם להיות חלק מהשיעור– מה דעתכם?</w:t>
      </w:r>
    </w:p>
    <w:p w14:paraId="593DFAA4" w14:textId="77777777" w:rsidR="000E596B" w:rsidRDefault="00000000">
      <w:pPr>
        <w:spacing w:before="280" w:after="240" w:line="240" w:lineRule="auto"/>
        <w:rPr>
          <w:color w:val="1B1C1D"/>
          <w:sz w:val="28"/>
          <w:szCs w:val="28"/>
        </w:rPr>
      </w:pPr>
      <w:r>
        <w:rPr>
          <w:color w:val="1B1C1D"/>
          <w:sz w:val="28"/>
          <w:szCs w:val="28"/>
          <w:rtl/>
        </w:rPr>
        <w:t xml:space="preserve">עבודה על מיומנויות, כפי שמוגדר בתוכנית משרד החינוך, מאפשרת לנו להכין את התלמידים לקראת חייהם כבוגרים. </w:t>
      </w:r>
    </w:p>
    <w:p w14:paraId="39C552C0" w14:textId="77777777" w:rsidR="000E596B" w:rsidRDefault="00000000">
      <w:pPr>
        <w:spacing w:before="280" w:after="120" w:line="240" w:lineRule="auto"/>
        <w:rPr>
          <w:b/>
          <w:color w:val="1B1C1D"/>
          <w:sz w:val="28"/>
          <w:szCs w:val="28"/>
        </w:rPr>
      </w:pPr>
      <w:hyperlink r:id="rId16">
        <w:r>
          <w:rPr>
            <w:b/>
            <w:color w:val="0563C1"/>
            <w:sz w:val="28"/>
            <w:szCs w:val="28"/>
            <w:u w:val="single"/>
            <w:rtl/>
          </w:rPr>
          <w:t>מפת</w:t>
        </w:r>
      </w:hyperlink>
      <w:hyperlink r:id="rId17">
        <w:r>
          <w:rPr>
            <w:b/>
            <w:color w:val="0563C1"/>
            <w:sz w:val="28"/>
            <w:szCs w:val="28"/>
            <w:u w:val="single"/>
            <w:rtl/>
          </w:rPr>
          <w:t xml:space="preserve"> </w:t>
        </w:r>
      </w:hyperlink>
      <w:hyperlink r:id="rId18">
        <w:r>
          <w:rPr>
            <w:b/>
            <w:color w:val="0563C1"/>
            <w:sz w:val="28"/>
            <w:szCs w:val="28"/>
            <w:u w:val="single"/>
            <w:rtl/>
          </w:rPr>
          <w:t>המיומנויות</w:t>
        </w:r>
      </w:hyperlink>
      <w:hyperlink r:id="rId19">
        <w:r>
          <w:rPr>
            <w:b/>
            <w:color w:val="0563C1"/>
            <w:sz w:val="28"/>
            <w:szCs w:val="28"/>
            <w:u w:val="single"/>
            <w:rtl/>
          </w:rPr>
          <w:t xml:space="preserve"> </w:t>
        </w:r>
      </w:hyperlink>
      <w:hyperlink r:id="rId20">
        <w:r>
          <w:rPr>
            <w:b/>
            <w:color w:val="0563C1"/>
            <w:sz w:val="28"/>
            <w:szCs w:val="28"/>
            <w:u w:val="single"/>
            <w:rtl/>
          </w:rPr>
          <w:t>הרשמית</w:t>
        </w:r>
      </w:hyperlink>
      <w:r>
        <w:rPr>
          <w:b/>
          <w:color w:val="1B1C1D"/>
          <w:sz w:val="28"/>
          <w:szCs w:val="28"/>
        </w:rPr>
        <w:t xml:space="preserve"> </w:t>
      </w:r>
    </w:p>
    <w:p w14:paraId="62045C2D" w14:textId="77777777" w:rsidR="000E596B" w:rsidRDefault="00000000">
      <w:pPr>
        <w:spacing w:before="280" w:after="240" w:line="240" w:lineRule="auto"/>
        <w:rPr>
          <w:color w:val="1B1C1D"/>
          <w:sz w:val="28"/>
          <w:szCs w:val="28"/>
        </w:rPr>
      </w:pPr>
      <w:r>
        <w:rPr>
          <w:color w:val="1B1C1D"/>
          <w:sz w:val="28"/>
          <w:szCs w:val="28"/>
          <w:rtl/>
        </w:rPr>
        <w:t>התרשים הבא מציג את מפת המיומנויות כפי שהוגדרה על ידי משרד החינוך. הוא משמש כמצפן המכוון אותנו אל היכולות המרכזיות שאנו שואפים לפתח אצל תלמידינו.</w:t>
      </w:r>
    </w:p>
    <w:p w14:paraId="5C510EAD" w14:textId="77777777" w:rsidR="000E596B" w:rsidRDefault="00000000">
      <w:pPr>
        <w:spacing w:before="280" w:after="240" w:line="240" w:lineRule="auto"/>
        <w:jc w:val="center"/>
        <w:rPr>
          <w:color w:val="1B1C1D"/>
          <w:sz w:val="28"/>
          <w:szCs w:val="28"/>
        </w:rPr>
      </w:pPr>
      <w:r>
        <w:rPr>
          <w:noProof/>
          <w:sz w:val="28"/>
          <w:szCs w:val="28"/>
        </w:rPr>
        <w:drawing>
          <wp:inline distT="0" distB="0" distL="0" distR="0" wp14:anchorId="03FCB702" wp14:editId="11058A91">
            <wp:extent cx="2268000" cy="3038312"/>
            <wp:effectExtent l="38100" t="38100" r="38100" b="38100"/>
            <wp:docPr id="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1"/>
                    <a:srcRect/>
                    <a:stretch>
                      <a:fillRect/>
                    </a:stretch>
                  </pic:blipFill>
                  <pic:spPr>
                    <a:xfrm>
                      <a:off x="0" y="0"/>
                      <a:ext cx="2268000" cy="3038312"/>
                    </a:xfrm>
                    <a:prstGeom prst="rect">
                      <a:avLst/>
                    </a:prstGeom>
                    <a:ln w="38100">
                      <a:solidFill>
                        <a:srgbClr val="000000"/>
                      </a:solidFill>
                      <a:prstDash val="solid"/>
                    </a:ln>
                  </pic:spPr>
                </pic:pic>
              </a:graphicData>
            </a:graphic>
          </wp:inline>
        </w:drawing>
      </w:r>
    </w:p>
    <w:p w14:paraId="2CACE501" w14:textId="77777777" w:rsidR="000E596B" w:rsidRDefault="00000000">
      <w:pPr>
        <w:spacing w:before="280" w:after="240" w:line="240" w:lineRule="auto"/>
        <w:rPr>
          <w:color w:val="1B1C1D"/>
          <w:sz w:val="28"/>
          <w:szCs w:val="28"/>
        </w:rPr>
      </w:pPr>
      <w:r>
        <w:rPr>
          <w:color w:val="1B1C1D"/>
          <w:sz w:val="28"/>
          <w:szCs w:val="28"/>
          <w:rtl/>
        </w:rPr>
        <w:t xml:space="preserve">כשמשלבים בשיעור הוראה של המיומנויות עצמן  לא מעברים רק את הידע אלא ממש מסבירים מה המיומנות ואיך להשתמש בה  השיעור נהיה ברור יותר. התלמיד מבין מה קורה, מרגיש שותף מלא, ולא הולך לאיבוד. הוא עובד יחד עם המורה, מבין את האסטרטגיה והמטרות, צובר ביטחון, ומתקדם שלב-שלב בלי לחץ או עומס </w:t>
      </w:r>
      <w:r>
        <w:rPr>
          <w:color w:val="1B1C1D"/>
          <w:sz w:val="28"/>
          <w:szCs w:val="28"/>
          <w:rtl/>
        </w:rPr>
        <w:lastRenderedPageBreak/>
        <w:t>מפתיע. ככה גם המורה וגם התלמיד צועדים ביחד, ולומדים בצורה שמכינה את התלמיד להתמודד עם משימות בעתיד.</w:t>
      </w:r>
    </w:p>
    <w:p w14:paraId="7FDA2F40" w14:textId="77777777" w:rsidR="000E596B" w:rsidRDefault="00000000">
      <w:pPr>
        <w:spacing w:before="280" w:after="120" w:line="240" w:lineRule="auto"/>
        <w:rPr>
          <w:color w:val="000000"/>
          <w:sz w:val="28"/>
          <w:szCs w:val="28"/>
        </w:rPr>
      </w:pPr>
      <w:r>
        <w:rPr>
          <w:color w:val="000000"/>
          <w:sz w:val="28"/>
          <w:szCs w:val="28"/>
          <w:rtl/>
        </w:rPr>
        <w:t>איך הופכים ידע סמוי לגלוי?</w:t>
      </w:r>
    </w:p>
    <w:p w14:paraId="7053ACEC" w14:textId="77777777" w:rsidR="000E596B" w:rsidRDefault="00000000">
      <w:pPr>
        <w:spacing w:before="280" w:after="120" w:line="240" w:lineRule="auto"/>
        <w:rPr>
          <w:color w:val="1B1C1D"/>
          <w:sz w:val="28"/>
          <w:szCs w:val="28"/>
        </w:rPr>
      </w:pPr>
      <w:r>
        <w:rPr>
          <w:color w:val="1B1C1D"/>
          <w:sz w:val="28"/>
          <w:szCs w:val="28"/>
          <w:rtl/>
        </w:rPr>
        <w:t>הוראה מפורשת היא לא רק "להסביר יותר". היא גשר בין מה שהמורה יודע למה שהתלמיד צריך לדעת כדי להצליח.</w:t>
      </w:r>
    </w:p>
    <w:p w14:paraId="551DD18B" w14:textId="77777777" w:rsidR="000E596B" w:rsidRDefault="00000000">
      <w:pPr>
        <w:numPr>
          <w:ilvl w:val="0"/>
          <w:numId w:val="1"/>
        </w:numPr>
        <w:spacing w:before="280" w:after="0" w:line="240" w:lineRule="auto"/>
        <w:rPr>
          <w:color w:val="1B1C1D"/>
        </w:rPr>
      </w:pPr>
      <w:r>
        <w:rPr>
          <w:b/>
          <w:color w:val="1B1C1D"/>
          <w:sz w:val="28"/>
          <w:szCs w:val="28"/>
          <w:rtl/>
        </w:rPr>
        <w:t>בהירות:</w:t>
      </w:r>
      <w:r>
        <w:rPr>
          <w:color w:val="1B1C1D"/>
          <w:sz w:val="28"/>
          <w:szCs w:val="28"/>
          <w:rtl/>
        </w:rPr>
        <w:t xml:space="preserve"> מספקת מפת דרכים ברורה להצלחה ומפחיתה תסכול ובלבול.</w:t>
      </w:r>
    </w:p>
    <w:p w14:paraId="73FCAC6A" w14:textId="77777777" w:rsidR="000E596B" w:rsidRDefault="00000000">
      <w:pPr>
        <w:numPr>
          <w:ilvl w:val="0"/>
          <w:numId w:val="1"/>
        </w:numPr>
        <w:spacing w:after="0" w:line="240" w:lineRule="auto"/>
        <w:rPr>
          <w:color w:val="1B1C1D"/>
        </w:rPr>
      </w:pPr>
      <w:r>
        <w:rPr>
          <w:color w:val="1B1C1D"/>
          <w:sz w:val="28"/>
          <w:szCs w:val="28"/>
          <w:rtl/>
        </w:rPr>
        <w:t>שוויון הזדמנויות: מבטיחה שלכל תלמיד, ללא קשר לרקע, תהיה גישה שווה לידע.</w:t>
      </w:r>
    </w:p>
    <w:p w14:paraId="3F6F666E" w14:textId="77777777" w:rsidR="000E596B" w:rsidRDefault="00000000">
      <w:pPr>
        <w:numPr>
          <w:ilvl w:val="0"/>
          <w:numId w:val="1"/>
        </w:numPr>
        <w:spacing w:after="0" w:line="240" w:lineRule="auto"/>
        <w:rPr>
          <w:color w:val="1B1C1D"/>
        </w:rPr>
      </w:pPr>
      <w:r>
        <w:rPr>
          <w:b/>
          <w:color w:val="1B1C1D"/>
          <w:sz w:val="28"/>
          <w:szCs w:val="28"/>
          <w:rtl/>
        </w:rPr>
        <w:t>בניית ביטחון</w:t>
      </w:r>
      <w:r>
        <w:rPr>
          <w:color w:val="1B1C1D"/>
          <w:sz w:val="28"/>
          <w:szCs w:val="28"/>
          <w:rtl/>
        </w:rPr>
        <w:t>: יוצרת הצלחות קטנות המצטברות לתחושת מסוגלות ולמידה עצמאית.</w:t>
      </w:r>
    </w:p>
    <w:p w14:paraId="2FB9509F" w14:textId="77777777" w:rsidR="000E596B" w:rsidRDefault="00000000">
      <w:pPr>
        <w:spacing w:before="280" w:after="120" w:line="240" w:lineRule="auto"/>
        <w:jc w:val="center"/>
        <w:rPr>
          <w:color w:val="000000"/>
          <w:sz w:val="28"/>
          <w:szCs w:val="28"/>
        </w:rPr>
      </w:pPr>
      <w:r>
        <w:rPr>
          <w:color w:val="000000"/>
          <w:sz w:val="28"/>
          <w:szCs w:val="28"/>
          <w:rtl/>
        </w:rPr>
        <w:t>מהי הוראה מפורשת? תהליך בחמישה שלבים</w:t>
      </w:r>
    </w:p>
    <w:p w14:paraId="7356A240" w14:textId="77777777" w:rsidR="000E596B" w:rsidRDefault="00000000">
      <w:pPr>
        <w:rPr>
          <w:sz w:val="28"/>
          <w:szCs w:val="28"/>
        </w:rPr>
      </w:pPr>
      <w:r>
        <w:rPr>
          <w:sz w:val="28"/>
          <w:szCs w:val="28"/>
          <w:rtl/>
        </w:rPr>
        <w:t xml:space="preserve">הוראה מפורשת, מתחילה בשלב התכנון השיעור אבל לא מסתיימת בה. הוראה המפורשת  נשזרת לאורך כל תהליך ההוראה והלמידה – מהפתיחה, דרך כתבת הכותר על הלוח ההנחיה והתרגול, ועד לרפלקציה בסיום. היא לא נשארת “בראש של המורה” או כתובה על דף, אלא מתקיימת בתוך </w:t>
      </w:r>
      <w:r>
        <w:rPr>
          <w:b/>
          <w:sz w:val="28"/>
          <w:szCs w:val="28"/>
          <w:rtl/>
        </w:rPr>
        <w:t>שיח משותף עם התלמידים</w:t>
      </w:r>
      <w:r>
        <w:rPr>
          <w:sz w:val="28"/>
          <w:szCs w:val="28"/>
          <w:rtl/>
        </w:rPr>
        <w:t>.</w:t>
      </w:r>
      <w:r>
        <w:rPr>
          <w:sz w:val="28"/>
          <w:szCs w:val="28"/>
          <w:rtl/>
        </w:rPr>
        <w:br/>
        <w:t xml:space="preserve">כשקיים דיאלוג כזה, נוצרות אצל התלמידים </w:t>
      </w:r>
      <w:r>
        <w:rPr>
          <w:b/>
          <w:sz w:val="28"/>
          <w:szCs w:val="28"/>
          <w:rtl/>
        </w:rPr>
        <w:t>בהירות</w:t>
      </w:r>
      <w:r>
        <w:rPr>
          <w:sz w:val="28"/>
          <w:szCs w:val="28"/>
        </w:rPr>
        <w:t xml:space="preserve">, </w:t>
      </w:r>
      <w:r>
        <w:rPr>
          <w:b/>
          <w:sz w:val="28"/>
          <w:szCs w:val="28"/>
          <w:rtl/>
        </w:rPr>
        <w:t>תחושת ביטחון</w:t>
      </w:r>
      <w:r>
        <w:rPr>
          <w:sz w:val="28"/>
          <w:szCs w:val="28"/>
          <w:rtl/>
        </w:rPr>
        <w:t>, והשיטה פועלת בכל ארבעת שלביה בצורה מיטבית: הצגת המטרה, הדגמה, תרגול מונחה ותרגול עצמאי, עם משוב ורפלקציה בסוף.</w:t>
      </w:r>
    </w:p>
    <w:p w14:paraId="5D9B5DD2" w14:textId="77777777" w:rsidR="000E596B" w:rsidRDefault="00000000">
      <w:pPr>
        <w:rPr>
          <w:sz w:val="28"/>
          <w:szCs w:val="28"/>
        </w:rPr>
      </w:pPr>
      <w:r>
        <w:rPr>
          <w:sz w:val="28"/>
          <w:szCs w:val="28"/>
          <w:rtl/>
        </w:rPr>
        <w:t>משרד החינוך מגדיר חמישה שלבים בהוראה מפורשת, אך תנאי ההצלחה הוא שהתהליך יתקיים בדיאלוג אמיתי עם התלמידים:</w:t>
      </w:r>
    </w:p>
    <w:p w14:paraId="2C6B22C6" w14:textId="77777777" w:rsidR="000E596B" w:rsidRDefault="00000000">
      <w:pPr>
        <w:jc w:val="center"/>
        <w:rPr>
          <w:sz w:val="28"/>
          <w:szCs w:val="28"/>
        </w:rPr>
      </w:pPr>
      <w:r>
        <w:rPr>
          <w:noProof/>
          <w:sz w:val="28"/>
          <w:szCs w:val="28"/>
        </w:rPr>
        <w:drawing>
          <wp:inline distT="0" distB="0" distL="0" distR="0" wp14:anchorId="1CA1910E" wp14:editId="7D467849">
            <wp:extent cx="4641352" cy="2628000"/>
            <wp:effectExtent l="38100" t="38100" r="38100" b="38100"/>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2"/>
                    <a:srcRect/>
                    <a:stretch>
                      <a:fillRect/>
                    </a:stretch>
                  </pic:blipFill>
                  <pic:spPr>
                    <a:xfrm>
                      <a:off x="0" y="0"/>
                      <a:ext cx="4641352" cy="2628000"/>
                    </a:xfrm>
                    <a:prstGeom prst="rect">
                      <a:avLst/>
                    </a:prstGeom>
                    <a:ln w="38100">
                      <a:solidFill>
                        <a:srgbClr val="000000"/>
                      </a:solidFill>
                      <a:prstDash val="solid"/>
                    </a:ln>
                  </pic:spPr>
                </pic:pic>
              </a:graphicData>
            </a:graphic>
          </wp:inline>
        </w:drawing>
      </w:r>
    </w:p>
    <w:p w14:paraId="2521C579" w14:textId="77777777" w:rsidR="000E596B" w:rsidRDefault="00000000">
      <w:pPr>
        <w:spacing w:before="280" w:after="0" w:line="240" w:lineRule="auto"/>
        <w:rPr>
          <w:color w:val="1B1C1D"/>
          <w:sz w:val="28"/>
          <w:szCs w:val="28"/>
        </w:rPr>
      </w:pPr>
      <w:hyperlink r:id="rId23"/>
      <w:hyperlink r:id="rId24">
        <w:r>
          <w:rPr>
            <w:i/>
            <w:color w:val="0563C1"/>
            <w:sz w:val="28"/>
            <w:szCs w:val="28"/>
            <w:u w:val="single"/>
            <w:rtl/>
          </w:rPr>
          <w:t>(</w:t>
        </w:r>
      </w:hyperlink>
      <w:hyperlink r:id="rId25">
        <w:r>
          <w:rPr>
            <w:i/>
            <w:color w:val="0563C1"/>
            <w:sz w:val="28"/>
            <w:szCs w:val="28"/>
            <w:u w:val="single"/>
            <w:rtl/>
          </w:rPr>
          <w:t>מבוסס</w:t>
        </w:r>
      </w:hyperlink>
      <w:hyperlink r:id="rId26">
        <w:r>
          <w:rPr>
            <w:i/>
            <w:color w:val="0563C1"/>
            <w:sz w:val="28"/>
            <w:szCs w:val="28"/>
            <w:u w:val="single"/>
            <w:rtl/>
          </w:rPr>
          <w:t xml:space="preserve"> </w:t>
        </w:r>
      </w:hyperlink>
      <w:hyperlink r:id="rId27">
        <w:r>
          <w:rPr>
            <w:i/>
            <w:color w:val="0563C1"/>
            <w:sz w:val="28"/>
            <w:szCs w:val="28"/>
            <w:u w:val="single"/>
            <w:rtl/>
          </w:rPr>
          <w:t>על</w:t>
        </w:r>
      </w:hyperlink>
      <w:hyperlink r:id="rId28">
        <w:r>
          <w:rPr>
            <w:i/>
            <w:color w:val="0563C1"/>
            <w:sz w:val="28"/>
            <w:szCs w:val="28"/>
            <w:u w:val="single"/>
            <w:rtl/>
          </w:rPr>
          <w:t xml:space="preserve"> </w:t>
        </w:r>
      </w:hyperlink>
      <w:hyperlink r:id="rId29">
        <w:r>
          <w:rPr>
            <w:i/>
            <w:color w:val="0563C1"/>
            <w:sz w:val="28"/>
            <w:szCs w:val="28"/>
            <w:u w:val="single"/>
            <w:rtl/>
          </w:rPr>
          <w:t>המודל</w:t>
        </w:r>
      </w:hyperlink>
      <w:hyperlink r:id="rId30">
        <w:r>
          <w:rPr>
            <w:i/>
            <w:color w:val="0563C1"/>
            <w:sz w:val="28"/>
            <w:szCs w:val="28"/>
            <w:u w:val="single"/>
            <w:rtl/>
          </w:rPr>
          <w:t xml:space="preserve"> </w:t>
        </w:r>
      </w:hyperlink>
      <w:hyperlink r:id="rId31">
        <w:r>
          <w:rPr>
            <w:i/>
            <w:color w:val="0563C1"/>
            <w:sz w:val="28"/>
            <w:szCs w:val="28"/>
            <w:u w:val="single"/>
            <w:rtl/>
          </w:rPr>
          <w:t>בפורטל</w:t>
        </w:r>
      </w:hyperlink>
      <w:hyperlink r:id="rId32">
        <w:r>
          <w:rPr>
            <w:i/>
            <w:color w:val="0563C1"/>
            <w:sz w:val="28"/>
            <w:szCs w:val="28"/>
            <w:u w:val="single"/>
            <w:rtl/>
          </w:rPr>
          <w:t xml:space="preserve"> </w:t>
        </w:r>
      </w:hyperlink>
      <w:hyperlink r:id="rId33">
        <w:r>
          <w:rPr>
            <w:i/>
            <w:color w:val="0563C1"/>
            <w:sz w:val="28"/>
            <w:szCs w:val="28"/>
            <w:u w:val="single"/>
            <w:rtl/>
          </w:rPr>
          <w:t>עובדי</w:t>
        </w:r>
      </w:hyperlink>
      <w:hyperlink r:id="rId34">
        <w:r>
          <w:rPr>
            <w:i/>
            <w:color w:val="0563C1"/>
            <w:sz w:val="28"/>
            <w:szCs w:val="28"/>
            <w:u w:val="single"/>
            <w:rtl/>
          </w:rPr>
          <w:t xml:space="preserve"> </w:t>
        </w:r>
      </w:hyperlink>
      <w:hyperlink r:id="rId35">
        <w:r>
          <w:rPr>
            <w:i/>
            <w:color w:val="0563C1"/>
            <w:sz w:val="28"/>
            <w:szCs w:val="28"/>
            <w:u w:val="single"/>
            <w:rtl/>
          </w:rPr>
          <w:t>ההוראה</w:t>
        </w:r>
      </w:hyperlink>
      <w:hyperlink r:id="rId36">
        <w:r>
          <w:rPr>
            <w:i/>
            <w:color w:val="0563C1"/>
            <w:sz w:val="28"/>
            <w:szCs w:val="28"/>
            <w:u w:val="single"/>
            <w:rtl/>
          </w:rPr>
          <w:t xml:space="preserve"> </w:t>
        </w:r>
      </w:hyperlink>
      <w:hyperlink r:id="rId37">
        <w:r>
          <w:rPr>
            <w:i/>
            <w:color w:val="0563C1"/>
            <w:sz w:val="28"/>
            <w:szCs w:val="28"/>
            <w:u w:val="single"/>
            <w:rtl/>
          </w:rPr>
          <w:t>של</w:t>
        </w:r>
      </w:hyperlink>
      <w:hyperlink r:id="rId38">
        <w:r>
          <w:rPr>
            <w:i/>
            <w:color w:val="0563C1"/>
            <w:sz w:val="28"/>
            <w:szCs w:val="28"/>
            <w:u w:val="single"/>
            <w:rtl/>
          </w:rPr>
          <w:t xml:space="preserve"> </w:t>
        </w:r>
      </w:hyperlink>
      <w:hyperlink r:id="rId39">
        <w:r>
          <w:rPr>
            <w:i/>
            <w:color w:val="0563C1"/>
            <w:sz w:val="28"/>
            <w:szCs w:val="28"/>
            <w:u w:val="single"/>
            <w:rtl/>
          </w:rPr>
          <w:t>משרד</w:t>
        </w:r>
      </w:hyperlink>
      <w:hyperlink r:id="rId40">
        <w:r>
          <w:rPr>
            <w:i/>
            <w:color w:val="0563C1"/>
            <w:sz w:val="28"/>
            <w:szCs w:val="28"/>
            <w:u w:val="single"/>
            <w:rtl/>
          </w:rPr>
          <w:t xml:space="preserve"> </w:t>
        </w:r>
      </w:hyperlink>
      <w:hyperlink r:id="rId41">
        <w:r>
          <w:rPr>
            <w:i/>
            <w:color w:val="0563C1"/>
            <w:sz w:val="28"/>
            <w:szCs w:val="28"/>
            <w:u w:val="single"/>
            <w:rtl/>
          </w:rPr>
          <w:t>החינוך</w:t>
        </w:r>
      </w:hyperlink>
      <w:r>
        <w:rPr>
          <w:i/>
          <w:color w:val="1B1C1D"/>
          <w:sz w:val="28"/>
          <w:szCs w:val="28"/>
        </w:rPr>
        <w:t>)</w:t>
      </w:r>
    </w:p>
    <w:p w14:paraId="1BA167A2" w14:textId="77777777" w:rsidR="000E596B" w:rsidRDefault="00000000">
      <w:pPr>
        <w:rPr>
          <w:sz w:val="28"/>
          <w:szCs w:val="28"/>
        </w:rPr>
      </w:pPr>
      <w:r>
        <w:rPr>
          <w:sz w:val="28"/>
          <w:szCs w:val="28"/>
          <w:rtl/>
        </w:rPr>
        <w:lastRenderedPageBreak/>
        <w:t>כך נוצרת בהירות שמאפשרת לתלמידים לפתח מיומנויות לחשיבה עצמאית ומיומנויות למידה לחיים, בלי להרגיש אבודים או מבולבלים.</w:t>
      </w:r>
    </w:p>
    <w:p w14:paraId="1A117FEE" w14:textId="77777777" w:rsidR="000E596B" w:rsidRDefault="00000000">
      <w:pPr>
        <w:spacing w:before="280" w:after="120" w:line="240" w:lineRule="auto"/>
        <w:rPr>
          <w:b/>
          <w:color w:val="1B1C1D"/>
          <w:sz w:val="40"/>
          <w:szCs w:val="40"/>
        </w:rPr>
      </w:pPr>
      <w:r>
        <w:rPr>
          <w:b/>
          <w:color w:val="1B1C1D"/>
          <w:sz w:val="40"/>
          <w:szCs w:val="40"/>
          <w:rtl/>
        </w:rPr>
        <w:t>מערך שיעור לדוגמה: ניתוח חוקי נירנברג</w:t>
      </w:r>
    </w:p>
    <w:p w14:paraId="2C658B47" w14:textId="77777777" w:rsidR="000E596B" w:rsidRDefault="00000000">
      <w:pPr>
        <w:spacing w:before="280" w:after="0" w:line="240" w:lineRule="auto"/>
        <w:rPr>
          <w:color w:val="1B1C1D"/>
          <w:sz w:val="28"/>
          <w:szCs w:val="28"/>
        </w:rPr>
      </w:pPr>
      <w:r>
        <w:rPr>
          <w:color w:val="1B1C1D"/>
          <w:sz w:val="28"/>
          <w:szCs w:val="28"/>
          <w:rtl/>
        </w:rPr>
        <w:t>שאלה מובילה (הקו המנחה): כיצד חוקי נירנברג מבטאים את קריסת הדמוקרטיה בגרמניה?</w:t>
      </w:r>
    </w:p>
    <w:p w14:paraId="4E9CF703" w14:textId="77777777" w:rsidR="000E596B" w:rsidRDefault="00000000">
      <w:pPr>
        <w:numPr>
          <w:ilvl w:val="0"/>
          <w:numId w:val="2"/>
        </w:numPr>
        <w:spacing w:before="280" w:after="280" w:line="240" w:lineRule="auto"/>
        <w:rPr>
          <w:color w:val="1B1C1D"/>
          <w:sz w:val="28"/>
          <w:szCs w:val="28"/>
        </w:rPr>
      </w:pPr>
      <w:r>
        <w:rPr>
          <w:color w:val="1B1C1D"/>
          <w:sz w:val="28"/>
          <w:szCs w:val="28"/>
          <w:rtl/>
        </w:rPr>
        <w:t>פתיחה ושיום מיומנויות:</w:t>
      </w:r>
    </w:p>
    <w:p w14:paraId="76BD0E38" w14:textId="77777777" w:rsidR="000E596B" w:rsidRDefault="00000000">
      <w:pPr>
        <w:spacing w:before="280" w:after="280" w:line="240" w:lineRule="auto"/>
        <w:rPr>
          <w:color w:val="1B1C1D"/>
          <w:sz w:val="28"/>
          <w:szCs w:val="28"/>
        </w:rPr>
      </w:pPr>
      <w:r>
        <w:rPr>
          <w:color w:val="1B1C1D"/>
          <w:sz w:val="28"/>
          <w:szCs w:val="28"/>
          <w:rtl/>
        </w:rPr>
        <w:t>המורה מציג את השאלה המובילה ואומר: "כדי לענות על השאלה הזו, נצטרך להשתמש בשתי מיומנויות חשובות: ניתוח מקור כדי להבין מה כתוב בחוקים, וחשיבה היסטורית כדי להבין את המשמעות שלהם בתקופה ההיא."</w:t>
      </w:r>
    </w:p>
    <w:p w14:paraId="4DD77C45" w14:textId="77777777" w:rsidR="000E596B" w:rsidRDefault="00000000">
      <w:pPr>
        <w:numPr>
          <w:ilvl w:val="0"/>
          <w:numId w:val="2"/>
        </w:numPr>
        <w:spacing w:before="280" w:after="280" w:line="240" w:lineRule="auto"/>
        <w:rPr>
          <w:color w:val="1B1C1D"/>
          <w:sz w:val="28"/>
          <w:szCs w:val="28"/>
        </w:rPr>
      </w:pPr>
      <w:r>
        <w:rPr>
          <w:color w:val="1B1C1D"/>
          <w:sz w:val="28"/>
          <w:szCs w:val="28"/>
          <w:rtl/>
        </w:rPr>
        <w:t>הדגמה (</w:t>
      </w:r>
      <w:r>
        <w:rPr>
          <w:color w:val="1B1C1D"/>
          <w:sz w:val="28"/>
          <w:szCs w:val="28"/>
        </w:rPr>
        <w:t>Modeling</w:t>
      </w:r>
      <w:r>
        <w:rPr>
          <w:color w:val="1B1C1D"/>
          <w:sz w:val="28"/>
          <w:szCs w:val="28"/>
          <w:rtl/>
        </w:rPr>
        <w:t>) ושיקוף חשיבה:</w:t>
      </w:r>
    </w:p>
    <w:p w14:paraId="5EC73BB4" w14:textId="77777777" w:rsidR="000E596B" w:rsidRDefault="00000000">
      <w:pPr>
        <w:spacing w:before="280" w:after="280" w:line="240" w:lineRule="auto"/>
        <w:rPr>
          <w:color w:val="1B1C1D"/>
          <w:sz w:val="28"/>
          <w:szCs w:val="28"/>
        </w:rPr>
      </w:pPr>
      <w:r>
        <w:rPr>
          <w:color w:val="1B1C1D"/>
          <w:sz w:val="28"/>
          <w:szCs w:val="28"/>
          <w:rtl/>
        </w:rPr>
        <w:t>המורה מקריא קטע ועוצר לחשוב בקול רם: "אני מפעיל עכשיו חשיבה היסטורית ושואל 'מתי נחקק החוק? 1935...'. עכשיו אני עובר לניתוח מקור: באילו מילים משתמשים כאן? 'דם גרמני', 'כבוד גרמני'... זהו ביטוי מובהק לקריסת ערך השוויון."</w:t>
      </w:r>
    </w:p>
    <w:p w14:paraId="1C4A6406" w14:textId="77777777" w:rsidR="000E596B" w:rsidRDefault="00000000">
      <w:pPr>
        <w:numPr>
          <w:ilvl w:val="0"/>
          <w:numId w:val="2"/>
        </w:numPr>
        <w:spacing w:before="280" w:after="280" w:line="240" w:lineRule="auto"/>
        <w:rPr>
          <w:color w:val="1B1C1D"/>
          <w:sz w:val="28"/>
          <w:szCs w:val="28"/>
        </w:rPr>
      </w:pPr>
      <w:r>
        <w:rPr>
          <w:color w:val="1B1C1D"/>
          <w:sz w:val="28"/>
          <w:szCs w:val="28"/>
          <w:rtl/>
        </w:rPr>
        <w:t>תרגול מודרך ושיום מיומנויות:</w:t>
      </w:r>
    </w:p>
    <w:p w14:paraId="6CEC08C7" w14:textId="77777777" w:rsidR="000E596B" w:rsidRDefault="00000000">
      <w:pPr>
        <w:spacing w:before="280" w:after="280" w:line="240" w:lineRule="auto"/>
        <w:rPr>
          <w:color w:val="1B1C1D"/>
          <w:sz w:val="28"/>
          <w:szCs w:val="28"/>
        </w:rPr>
      </w:pPr>
      <w:r>
        <w:rPr>
          <w:color w:val="1B1C1D"/>
          <w:sz w:val="28"/>
          <w:szCs w:val="28"/>
          <w:rtl/>
        </w:rPr>
        <w:t>הכיתה קוראת יחד. המורה שואל: "בואו נפעיל יחד ניתוח מקור: את מי החוק הזה מגדיר כאזרח?... ועכשיו נפעיל חשיבה ביקורתית: מדוע היה חשוב לנאצים ליצור את ההבחנה הזו?"</w:t>
      </w:r>
    </w:p>
    <w:p w14:paraId="3619A8E3" w14:textId="77777777" w:rsidR="000E596B" w:rsidRDefault="00000000">
      <w:pPr>
        <w:numPr>
          <w:ilvl w:val="0"/>
          <w:numId w:val="2"/>
        </w:numPr>
        <w:spacing w:before="280" w:after="280" w:line="240" w:lineRule="auto"/>
        <w:rPr>
          <w:color w:val="1B1C1D"/>
          <w:sz w:val="28"/>
          <w:szCs w:val="28"/>
        </w:rPr>
      </w:pPr>
      <w:r>
        <w:rPr>
          <w:color w:val="1B1C1D"/>
          <w:sz w:val="28"/>
          <w:szCs w:val="28"/>
          <w:rtl/>
        </w:rPr>
        <w:t>תרגול עצמאי עם פיגומים:</w:t>
      </w:r>
    </w:p>
    <w:p w14:paraId="1170EA34" w14:textId="77777777" w:rsidR="000E596B" w:rsidRDefault="00000000">
      <w:pPr>
        <w:spacing w:before="280" w:after="280" w:line="240" w:lineRule="auto"/>
        <w:rPr>
          <w:color w:val="1B1C1D"/>
          <w:sz w:val="28"/>
          <w:szCs w:val="28"/>
        </w:rPr>
      </w:pPr>
      <w:r>
        <w:rPr>
          <w:color w:val="1B1C1D"/>
          <w:sz w:val="28"/>
          <w:szCs w:val="28"/>
          <w:rtl/>
        </w:rPr>
        <w:t>התלמידים עונים על שאלות מנחות:</w:t>
      </w:r>
    </w:p>
    <w:p w14:paraId="33D58949" w14:textId="77777777" w:rsidR="000E596B" w:rsidRDefault="00000000">
      <w:pPr>
        <w:spacing w:before="280" w:after="280" w:line="240" w:lineRule="auto"/>
        <w:rPr>
          <w:color w:val="1B1C1D"/>
          <w:sz w:val="28"/>
          <w:szCs w:val="28"/>
        </w:rPr>
      </w:pPr>
      <w:r>
        <w:rPr>
          <w:color w:val="1B1C1D"/>
          <w:sz w:val="28"/>
          <w:szCs w:val="28"/>
          <w:rtl/>
        </w:rPr>
        <w:t>א. ניתוח מקור: מהי ההוראה המרכזית בקטע?</w:t>
      </w:r>
    </w:p>
    <w:p w14:paraId="2200786F" w14:textId="77777777" w:rsidR="000E596B" w:rsidRDefault="00000000">
      <w:pPr>
        <w:spacing w:before="280" w:after="280" w:line="240" w:lineRule="auto"/>
        <w:rPr>
          <w:color w:val="1B1C1D"/>
          <w:sz w:val="28"/>
          <w:szCs w:val="28"/>
        </w:rPr>
      </w:pPr>
      <w:r>
        <w:rPr>
          <w:color w:val="1B1C1D"/>
          <w:sz w:val="28"/>
          <w:szCs w:val="28"/>
          <w:rtl/>
        </w:rPr>
        <w:t>ב. חשיבה היסטורית: באיזה אופן התקנה הזו משלימה את החוקים הקודמים?</w:t>
      </w:r>
    </w:p>
    <w:p w14:paraId="0718F5AC" w14:textId="77777777" w:rsidR="000E596B" w:rsidRDefault="00000000">
      <w:pPr>
        <w:spacing w:before="280" w:after="280" w:line="240" w:lineRule="auto"/>
        <w:rPr>
          <w:color w:val="1B1C1D"/>
          <w:sz w:val="28"/>
          <w:szCs w:val="28"/>
        </w:rPr>
      </w:pPr>
      <w:r>
        <w:rPr>
          <w:color w:val="1B1C1D"/>
          <w:sz w:val="28"/>
          <w:szCs w:val="28"/>
          <w:rtl/>
        </w:rPr>
        <w:t>ג. חיבור לשאלה המובילה: כיצד האיסור הזה מבטא את קריסת הדמוקרטיה?</w:t>
      </w:r>
    </w:p>
    <w:p w14:paraId="63957590" w14:textId="77777777" w:rsidR="000E596B" w:rsidRDefault="00000000">
      <w:pPr>
        <w:numPr>
          <w:ilvl w:val="0"/>
          <w:numId w:val="2"/>
        </w:numPr>
        <w:spacing w:before="280" w:after="280" w:line="240" w:lineRule="auto"/>
        <w:rPr>
          <w:color w:val="1B1C1D"/>
          <w:sz w:val="28"/>
          <w:szCs w:val="28"/>
        </w:rPr>
      </w:pPr>
      <w:r>
        <w:rPr>
          <w:color w:val="1B1C1D"/>
          <w:sz w:val="28"/>
          <w:szCs w:val="28"/>
          <w:rtl/>
        </w:rPr>
        <w:t>רפלקציה וסיכום:</w:t>
      </w:r>
    </w:p>
    <w:p w14:paraId="77CC0A59" w14:textId="77777777" w:rsidR="000E596B" w:rsidRDefault="00000000">
      <w:pPr>
        <w:spacing w:before="280" w:after="280" w:line="240" w:lineRule="auto"/>
        <w:rPr>
          <w:color w:val="1B1C1D"/>
          <w:sz w:val="28"/>
          <w:szCs w:val="28"/>
        </w:rPr>
      </w:pPr>
      <w:r>
        <w:rPr>
          <w:color w:val="1B1C1D"/>
          <w:sz w:val="28"/>
          <w:szCs w:val="28"/>
          <w:rtl/>
        </w:rPr>
        <w:t>המורה שואל: "אז איך השימוש בניתוח מקור ובחשיבה היסטורית עזר לנו להבין טוב יותר את קריסת הדמוקרטיה בגרמניה?"</w:t>
      </w:r>
    </w:p>
    <w:p w14:paraId="69B5EDE4" w14:textId="77777777" w:rsidR="000E596B" w:rsidRDefault="000E596B">
      <w:pPr>
        <w:spacing w:before="280" w:after="280" w:line="240" w:lineRule="auto"/>
        <w:rPr>
          <w:color w:val="1B1C1D"/>
          <w:sz w:val="28"/>
          <w:szCs w:val="28"/>
        </w:rPr>
      </w:pPr>
    </w:p>
    <w:p w14:paraId="037443E2" w14:textId="77777777" w:rsidR="000E596B" w:rsidRDefault="00000000">
      <w:pPr>
        <w:spacing w:before="280" w:after="120" w:line="240" w:lineRule="auto"/>
        <w:rPr>
          <w:b/>
          <w:color w:val="1B1C1D"/>
          <w:sz w:val="36"/>
          <w:szCs w:val="36"/>
        </w:rPr>
      </w:pPr>
      <w:r>
        <w:rPr>
          <w:b/>
          <w:color w:val="1B1C1D"/>
          <w:sz w:val="36"/>
          <w:szCs w:val="36"/>
          <w:rtl/>
        </w:rPr>
        <w:lastRenderedPageBreak/>
        <w:t>מדוע חשוב להשתמש בהוראה מפורשת של מיומנויות?</w:t>
      </w:r>
    </w:p>
    <w:p w14:paraId="1E5CF8D7" w14:textId="77777777" w:rsidR="000E596B" w:rsidRDefault="00000000">
      <w:pPr>
        <w:spacing w:before="280" w:after="240" w:line="240" w:lineRule="auto"/>
        <w:rPr>
          <w:color w:val="1B1C1D"/>
          <w:sz w:val="28"/>
          <w:szCs w:val="28"/>
        </w:rPr>
      </w:pPr>
      <w:r>
        <w:rPr>
          <w:color w:val="1B1C1D"/>
          <w:sz w:val="28"/>
          <w:szCs w:val="28"/>
          <w:rtl/>
        </w:rPr>
        <w:t>הוראה מפורשת של מיומנויות אינה בגדר המלצה פדגוגית בלבד, אלא תנאי הכרחי לטיפוח לומד עצמאי.</w:t>
      </w:r>
    </w:p>
    <w:p w14:paraId="6FC30B5F" w14:textId="77777777" w:rsidR="000E596B" w:rsidRDefault="00000000">
      <w:pPr>
        <w:spacing w:before="280" w:after="120" w:line="240" w:lineRule="auto"/>
        <w:rPr>
          <w:b/>
          <w:color w:val="1B1C1D"/>
          <w:sz w:val="28"/>
          <w:szCs w:val="28"/>
        </w:rPr>
      </w:pPr>
      <w:r>
        <w:rPr>
          <w:b/>
          <w:color w:val="1B1C1D"/>
          <w:sz w:val="28"/>
          <w:szCs w:val="28"/>
          <w:rtl/>
        </w:rPr>
        <w:t>1. הפיכת החשיבה לברת-הוראה – מסמוי לגלוי</w:t>
      </w:r>
    </w:p>
    <w:p w14:paraId="28982F5A" w14:textId="77777777" w:rsidR="000E596B" w:rsidRDefault="00000000">
      <w:pPr>
        <w:spacing w:before="280" w:after="240" w:line="240" w:lineRule="auto"/>
        <w:rPr>
          <w:i/>
          <w:color w:val="1B1C1D"/>
          <w:sz w:val="28"/>
          <w:szCs w:val="28"/>
        </w:rPr>
      </w:pPr>
      <w:r>
        <w:rPr>
          <w:color w:val="1B1C1D"/>
          <w:sz w:val="28"/>
          <w:szCs w:val="28"/>
          <w:rtl/>
        </w:rPr>
        <w:t xml:space="preserve">הפיכת החשיבה לברת-הוראה פירושו להפוך את תהליכי החשיבה, שבדרך כלל מתרחשים באופן סמוי ובלתי נראים לתלמידים (ולפעמים אפילו למורה), </w:t>
      </w:r>
      <w:r>
        <w:rPr>
          <w:i/>
          <w:color w:val="1B1C1D"/>
          <w:sz w:val="28"/>
          <w:szCs w:val="28"/>
          <w:rtl/>
        </w:rPr>
        <w:t>לתהליכים גלויים, מסודרים וברורים שניתן להדגים, לתרגל ולהסביר בכיתה.</w:t>
      </w:r>
    </w:p>
    <w:p w14:paraId="715D62A3" w14:textId="77777777" w:rsidR="000E596B" w:rsidRDefault="00000000">
      <w:pPr>
        <w:spacing w:before="280" w:after="280" w:line="240" w:lineRule="auto"/>
        <w:rPr>
          <w:i/>
          <w:color w:val="1B1C1D"/>
          <w:sz w:val="28"/>
          <w:szCs w:val="28"/>
        </w:rPr>
      </w:pPr>
      <w:r>
        <w:rPr>
          <w:i/>
          <w:color w:val="1B1C1D"/>
          <w:sz w:val="28"/>
          <w:szCs w:val="28"/>
          <w:rtl/>
        </w:rPr>
        <w:t>"כדי שתלמידים ילמדו לחשוב, אין די בכך שיעסקו במטלות חשיבה מאתגרות. יש צורך להפוך את תהליכי החשיבה עצמם למושא גלוי של הוראה ולמידה בכיתה..."</w:t>
      </w:r>
    </w:p>
    <w:p w14:paraId="269E0A57" w14:textId="77777777" w:rsidR="000E596B" w:rsidRDefault="00000000">
      <w:pPr>
        <w:spacing w:before="280" w:after="280" w:line="240" w:lineRule="auto"/>
        <w:rPr>
          <w:color w:val="1B1C1D"/>
        </w:rPr>
      </w:pPr>
      <w:r>
        <w:rPr>
          <w:color w:val="1B1C1D"/>
          <w:rtl/>
        </w:rPr>
        <w:t>(זוהר, ענת. "ללמוד, לחשוב וללמוד לחשוב", 2004)</w:t>
      </w:r>
    </w:p>
    <w:p w14:paraId="17FF80A7" w14:textId="77777777" w:rsidR="000E596B" w:rsidRDefault="00000000">
      <w:pPr>
        <w:spacing w:before="280" w:after="120" w:line="240" w:lineRule="auto"/>
        <w:rPr>
          <w:b/>
          <w:color w:val="1B1C1D"/>
          <w:sz w:val="28"/>
          <w:szCs w:val="28"/>
        </w:rPr>
      </w:pPr>
      <w:r>
        <w:rPr>
          <w:b/>
          <w:color w:val="1B1C1D"/>
          <w:sz w:val="28"/>
          <w:szCs w:val="28"/>
          <w:rtl/>
        </w:rPr>
        <w:t xml:space="preserve">2. פיתוח לומד עצמאי כחלק מלמידה משמעותית - </w:t>
      </w:r>
    </w:p>
    <w:p w14:paraId="3FF7405D" w14:textId="77777777" w:rsidR="000E596B" w:rsidRDefault="00000000">
      <w:pPr>
        <w:spacing w:before="280" w:after="240" w:line="240" w:lineRule="auto"/>
        <w:rPr>
          <w:rFonts w:ascii="Arial" w:eastAsia="Arial" w:hAnsi="Arial" w:cs="Arial"/>
          <w:color w:val="1B1C1D"/>
          <w:sz w:val="28"/>
          <w:szCs w:val="28"/>
        </w:rPr>
      </w:pPr>
      <w:r>
        <w:rPr>
          <w:rFonts w:ascii="Arial" w:eastAsia="Arial" w:hAnsi="Arial" w:cs="Arial"/>
          <w:color w:val="1B1C1D"/>
          <w:sz w:val="28"/>
          <w:szCs w:val="28"/>
          <w:rtl/>
        </w:rPr>
        <w:t>כדי לעצב בוגר המסוגל ללמוד בעצמו</w:t>
      </w:r>
      <w:r>
        <w:rPr>
          <w:rFonts w:ascii="Arial" w:eastAsia="Arial" w:hAnsi="Arial" w:cs="Arial"/>
          <w:sz w:val="28"/>
          <w:szCs w:val="28"/>
          <w:rtl/>
        </w:rPr>
        <w:t xml:space="preserve"> המורה לא צריך להרגיש שהוא חייב לתת רק את התושבות </w:t>
      </w:r>
      <w:r>
        <w:rPr>
          <w:rFonts w:ascii="Arial" w:eastAsia="Arial" w:hAnsi="Arial" w:cs="Arial"/>
          <w:color w:val="1B1C1D"/>
          <w:sz w:val="28"/>
          <w:szCs w:val="28"/>
          <w:rtl/>
        </w:rPr>
        <w:t xml:space="preserve"> אלא ישתף אותו במטרות של השיעור במיומנויות שהוא לומד.</w:t>
      </w:r>
    </w:p>
    <w:p w14:paraId="0B6D0462" w14:textId="77777777" w:rsidR="000E596B" w:rsidRDefault="00000000">
      <w:pPr>
        <w:spacing w:before="280" w:after="280" w:line="240" w:lineRule="auto"/>
        <w:rPr>
          <w:i/>
          <w:color w:val="1B1C1D"/>
          <w:sz w:val="28"/>
          <w:szCs w:val="28"/>
        </w:rPr>
      </w:pPr>
      <w:r>
        <w:rPr>
          <w:i/>
          <w:color w:val="1B1C1D"/>
          <w:sz w:val="28"/>
          <w:szCs w:val="28"/>
          <w:rtl/>
        </w:rPr>
        <w:t>"למידה משמעותית מתרחשת כאשר הלומד... מפתח יכולת ליישם את הנלמד במצבים חדשים... על ההוראה לכלול הקניית כלים ומיומנויות באופן שיטתי..."</w:t>
      </w:r>
    </w:p>
    <w:p w14:paraId="704DD9D9" w14:textId="77777777" w:rsidR="000E596B" w:rsidRDefault="00000000">
      <w:pPr>
        <w:spacing w:before="280" w:after="280" w:line="240" w:lineRule="auto"/>
        <w:rPr>
          <w:color w:val="1B1C1D"/>
          <w:sz w:val="24"/>
          <w:szCs w:val="24"/>
        </w:rPr>
      </w:pPr>
      <w:r>
        <w:rPr>
          <w:color w:val="1B1C1D"/>
          <w:sz w:val="24"/>
          <w:szCs w:val="24"/>
          <w:rtl/>
        </w:rPr>
        <w:t>(מתווה הלמידה המשמעותית, משרד החינוך, 2015)</w:t>
      </w:r>
    </w:p>
    <w:p w14:paraId="75AB4726" w14:textId="77777777" w:rsidR="000E596B" w:rsidRDefault="00000000">
      <w:pPr>
        <w:spacing w:before="280" w:after="120" w:line="240" w:lineRule="auto"/>
        <w:rPr>
          <w:b/>
          <w:color w:val="1B1C1D"/>
          <w:sz w:val="28"/>
          <w:szCs w:val="28"/>
        </w:rPr>
      </w:pPr>
      <w:r>
        <w:rPr>
          <w:b/>
          <w:color w:val="1B1C1D"/>
          <w:sz w:val="28"/>
          <w:szCs w:val="28"/>
          <w:rtl/>
        </w:rPr>
        <w:t>3. צמצום פערים וקידום שוויון הזדמנויות</w:t>
      </w:r>
    </w:p>
    <w:p w14:paraId="46D57D9B" w14:textId="77777777" w:rsidR="000E596B" w:rsidRDefault="00000000">
      <w:pPr>
        <w:spacing w:before="280" w:after="280" w:line="240" w:lineRule="auto"/>
        <w:rPr>
          <w:color w:val="1B1C1D"/>
          <w:sz w:val="28"/>
          <w:szCs w:val="28"/>
        </w:rPr>
      </w:pPr>
      <w:bookmarkStart w:id="0" w:name="_soaq437elspy" w:colFirst="0" w:colLast="0"/>
      <w:bookmarkEnd w:id="0"/>
      <w:r>
        <w:rPr>
          <w:color w:val="1B1C1D"/>
          <w:sz w:val="28"/>
          <w:szCs w:val="28"/>
          <w:rtl/>
        </w:rPr>
        <w:t>הוראה מפורשת להתאים את ההסברים והפיגומים לצרכים השונים של תלמידים מגוונים, מה שמקטין את הפערים של ההבנה והביצועים.</w:t>
      </w:r>
    </w:p>
    <w:p w14:paraId="07408671" w14:textId="77777777" w:rsidR="000E596B" w:rsidRDefault="00000000">
      <w:pPr>
        <w:spacing w:before="280" w:after="280" w:line="240" w:lineRule="auto"/>
        <w:rPr>
          <w:color w:val="1B1C1D"/>
          <w:sz w:val="28"/>
          <w:szCs w:val="28"/>
        </w:rPr>
      </w:pPr>
      <w:r>
        <w:rPr>
          <w:color w:val="1B1C1D"/>
          <w:sz w:val="28"/>
          <w:szCs w:val="28"/>
          <w:rtl/>
        </w:rPr>
        <w:t>למה?</w:t>
      </w:r>
    </w:p>
    <w:p w14:paraId="51725C70" w14:textId="77777777" w:rsidR="000E596B" w:rsidRDefault="00000000">
      <w:pPr>
        <w:pBdr>
          <w:top w:val="nil"/>
          <w:left w:val="nil"/>
          <w:bottom w:val="nil"/>
          <w:right w:val="nil"/>
          <w:between w:val="nil"/>
        </w:pBdr>
        <w:spacing w:line="240" w:lineRule="auto"/>
        <w:jc w:val="right"/>
        <w:rPr>
          <w:rFonts w:ascii="Times New Roman" w:eastAsia="Times New Roman" w:hAnsi="Times New Roman" w:cs="Times New Roman"/>
          <w:color w:val="1B1C1D"/>
          <w:sz w:val="28"/>
          <w:szCs w:val="28"/>
        </w:rPr>
      </w:pPr>
      <w:r>
        <w:rPr>
          <w:rFonts w:ascii="Times New Roman" w:eastAsia="Times New Roman" w:hAnsi="Times New Roman" w:cs="Times New Roman"/>
          <w:color w:val="1B1C1D"/>
          <w:sz w:val="28"/>
          <w:szCs w:val="28"/>
          <w:rtl/>
        </w:rPr>
        <w:t>המורה מגדיר מראש בצורה ברורה את המטרות והמיומנויות הנלמדות ואת הקריטריונים להצלחה, ומוביל את התלמידים דרך הדגמות הסברים של המיומנויות, תרגול מונחה ומשוב מתמיד</w:t>
      </w:r>
      <w:r>
        <w:rPr>
          <w:rFonts w:ascii="Times New Roman" w:eastAsia="Times New Roman" w:hAnsi="Times New Roman" w:cs="Times New Roman"/>
          <w:color w:val="1B1C1D"/>
          <w:sz w:val="28"/>
          <w:szCs w:val="28"/>
        </w:rPr>
        <w:t>.</w:t>
      </w:r>
    </w:p>
    <w:p w14:paraId="2B512827" w14:textId="77777777" w:rsidR="000E596B" w:rsidRDefault="00000000">
      <w:pPr>
        <w:pBdr>
          <w:top w:val="nil"/>
          <w:left w:val="nil"/>
          <w:bottom w:val="nil"/>
          <w:right w:val="nil"/>
          <w:between w:val="nil"/>
        </w:pBdr>
        <w:spacing w:line="240" w:lineRule="auto"/>
        <w:jc w:val="right"/>
        <w:rPr>
          <w:rFonts w:ascii="Times New Roman" w:eastAsia="Times New Roman" w:hAnsi="Times New Roman" w:cs="Times New Roman"/>
          <w:color w:val="1B1C1D"/>
          <w:sz w:val="28"/>
          <w:szCs w:val="28"/>
        </w:rPr>
      </w:pPr>
      <w:r>
        <w:rPr>
          <w:rFonts w:ascii="Times New Roman" w:eastAsia="Times New Roman" w:hAnsi="Times New Roman" w:cs="Times New Roman"/>
          <w:color w:val="1B1C1D"/>
          <w:sz w:val="28"/>
          <w:szCs w:val="28"/>
        </w:rPr>
        <w:t xml:space="preserve"> </w:t>
      </w:r>
      <w:r>
        <w:rPr>
          <w:rFonts w:ascii="Times New Roman" w:eastAsia="Times New Roman" w:hAnsi="Times New Roman" w:cs="Times New Roman"/>
          <w:color w:val="1B1C1D"/>
          <w:sz w:val="28"/>
          <w:szCs w:val="28"/>
          <w:rtl/>
        </w:rPr>
        <w:t>תהליך הוראה זה  מאפשר לו לזהות מידי זמן האם התלמידים מבינים, ובאיזה שלב תהליך הלמידה תקוע או דורש התאמה</w:t>
      </w:r>
      <w:r>
        <w:rPr>
          <w:rFonts w:ascii="Times New Roman" w:eastAsia="Times New Roman" w:hAnsi="Times New Roman" w:cs="Times New Roman"/>
          <w:color w:val="1B1C1D"/>
          <w:sz w:val="28"/>
          <w:szCs w:val="28"/>
        </w:rPr>
        <w:t>.</w:t>
      </w:r>
    </w:p>
    <w:p w14:paraId="637E367C" w14:textId="77777777" w:rsidR="000E596B" w:rsidRDefault="00000000">
      <w:pPr>
        <w:spacing w:before="280" w:after="280" w:line="240" w:lineRule="auto"/>
        <w:rPr>
          <w:i/>
          <w:color w:val="1B1C1D"/>
          <w:sz w:val="24"/>
          <w:szCs w:val="24"/>
        </w:rPr>
      </w:pPr>
      <w:r>
        <w:rPr>
          <w:i/>
          <w:color w:val="1B1C1D"/>
          <w:sz w:val="24"/>
          <w:szCs w:val="24"/>
          <w:rtl/>
        </w:rPr>
        <w:t>"הוראה ישירה ומפורשת של מיומנויות היא אחד הכלים האפקטיביים ביותר... לקידום שוויון חינוכי."</w:t>
      </w:r>
    </w:p>
    <w:p w14:paraId="7BFD1679" w14:textId="77777777" w:rsidR="000E596B" w:rsidRDefault="00000000">
      <w:pPr>
        <w:spacing w:before="280" w:after="280" w:line="240" w:lineRule="auto"/>
        <w:rPr>
          <w:i/>
          <w:color w:val="1B1C1D"/>
          <w:sz w:val="24"/>
          <w:szCs w:val="24"/>
        </w:rPr>
      </w:pPr>
      <w:r>
        <w:rPr>
          <w:i/>
          <w:color w:val="1B1C1D"/>
          <w:sz w:val="24"/>
          <w:szCs w:val="24"/>
          <w:rtl/>
        </w:rPr>
        <w:t>(מבוסס על עקרונות פדגוגיים של צמצום פערים)</w:t>
      </w:r>
    </w:p>
    <w:p w14:paraId="37542195" w14:textId="77777777" w:rsidR="000E596B" w:rsidRDefault="000E596B">
      <w:pPr>
        <w:spacing w:before="280" w:after="280" w:line="240" w:lineRule="auto"/>
        <w:rPr>
          <w:i/>
          <w:color w:val="1B1C1D"/>
          <w:sz w:val="24"/>
          <w:szCs w:val="24"/>
        </w:rPr>
      </w:pPr>
    </w:p>
    <w:p w14:paraId="31993443" w14:textId="77777777" w:rsidR="000E596B" w:rsidRDefault="00000000">
      <w:pPr>
        <w:rPr>
          <w:rFonts w:ascii="Arial" w:eastAsia="Arial" w:hAnsi="Arial" w:cs="Arial"/>
          <w:b/>
          <w:sz w:val="28"/>
          <w:szCs w:val="28"/>
        </w:rPr>
      </w:pPr>
      <w:r>
        <w:rPr>
          <w:rFonts w:ascii="Arial" w:eastAsia="Arial" w:hAnsi="Arial" w:cs="Arial"/>
          <w:b/>
          <w:sz w:val="28"/>
          <w:szCs w:val="28"/>
          <w:rtl/>
        </w:rPr>
        <w:t xml:space="preserve">למה הוראה מפורשת עוזרת </w:t>
      </w:r>
      <w:proofErr w:type="spellStart"/>
      <w:r>
        <w:rPr>
          <w:rFonts w:ascii="Arial" w:eastAsia="Arial" w:hAnsi="Arial" w:cs="Arial"/>
          <w:b/>
          <w:sz w:val="28"/>
          <w:szCs w:val="28"/>
          <w:rtl/>
        </w:rPr>
        <w:t>למצמם</w:t>
      </w:r>
      <w:proofErr w:type="spellEnd"/>
      <w:r>
        <w:rPr>
          <w:rFonts w:ascii="Arial" w:eastAsia="Arial" w:hAnsi="Arial" w:cs="Arial"/>
          <w:b/>
          <w:sz w:val="28"/>
          <w:szCs w:val="28"/>
          <w:rtl/>
        </w:rPr>
        <w:t xml:space="preserve"> פערים?</w:t>
      </w:r>
    </w:p>
    <w:p w14:paraId="5D76ADBA" w14:textId="77777777" w:rsidR="000E596B" w:rsidRDefault="00000000">
      <w:pPr>
        <w:rPr>
          <w:rFonts w:ascii="Arial" w:eastAsia="Arial" w:hAnsi="Arial" w:cs="Arial"/>
          <w:sz w:val="28"/>
          <w:szCs w:val="28"/>
        </w:rPr>
      </w:pPr>
      <w:r>
        <w:rPr>
          <w:rFonts w:ascii="Arial" w:eastAsia="Arial" w:hAnsi="Arial" w:cs="Arial"/>
          <w:sz w:val="28"/>
          <w:szCs w:val="28"/>
          <w:rtl/>
        </w:rPr>
        <w:t>כי כל תלמיד, ללא קשר לרקע, המורה יכול  לזהות את קצב הלמידה  ובלי קשר לידע הקודם של התלמיד. התלמיד מקבל גישה שווה וברורה לאותם כלים ואסטרטגיות. כך נמנע מצב שבו רק מי שכבר יודע "איך ללמוד" מצליח, ושאר התלמידים נשארים מאחור.</w:t>
      </w:r>
    </w:p>
    <w:p w14:paraId="2CF3AC09" w14:textId="77777777" w:rsidR="000E596B" w:rsidRDefault="000E596B">
      <w:pPr>
        <w:spacing w:before="280" w:after="0" w:line="240" w:lineRule="auto"/>
        <w:rPr>
          <w:color w:val="1B1C1D"/>
          <w:sz w:val="28"/>
          <w:szCs w:val="28"/>
        </w:rPr>
      </w:pPr>
    </w:p>
    <w:p w14:paraId="1B1BAB97" w14:textId="77777777" w:rsidR="000E596B" w:rsidRDefault="00000000">
      <w:pPr>
        <w:spacing w:before="280" w:after="0" w:line="240" w:lineRule="auto"/>
        <w:rPr>
          <w:color w:val="1B1C1D"/>
          <w:sz w:val="28"/>
          <w:szCs w:val="28"/>
        </w:rPr>
      </w:pPr>
      <w:r>
        <w:rPr>
          <w:color w:val="1B1C1D"/>
          <w:sz w:val="28"/>
          <w:szCs w:val="28"/>
          <w:rtl/>
        </w:rPr>
        <w:t>סיכום:</w:t>
      </w:r>
    </w:p>
    <w:p w14:paraId="0F927CED" w14:textId="77777777" w:rsidR="000E596B" w:rsidRDefault="00000000">
      <w:pPr>
        <w:spacing w:before="280" w:after="240" w:line="240" w:lineRule="auto"/>
        <w:rPr>
          <w:color w:val="1B1C1D"/>
          <w:sz w:val="28"/>
          <w:szCs w:val="28"/>
        </w:rPr>
      </w:pPr>
      <w:r>
        <w:rPr>
          <w:color w:val="1B1C1D"/>
          <w:sz w:val="28"/>
          <w:szCs w:val="28"/>
          <w:rtl/>
        </w:rPr>
        <w:t>“הוראה מפורשת אינה 'טכניקת לימוד' אלא תפיסת עולם, שמבוססת על הנגשה שיטתית וגלויה של תהליכי חשיבה ומיומנויות — מהתכנון ועד להטמעה בכיתה — מתוך רצון שכל תלמיד יוכל באמת להבין, ליישם ולהצליח.”</w:t>
      </w:r>
    </w:p>
    <w:p w14:paraId="01CF4500" w14:textId="77777777" w:rsidR="000E596B" w:rsidRDefault="00000000">
      <w:pPr>
        <w:spacing w:before="280" w:after="120" w:line="240" w:lineRule="auto"/>
        <w:rPr>
          <w:b/>
          <w:color w:val="1B1C1D"/>
          <w:sz w:val="28"/>
          <w:szCs w:val="28"/>
        </w:rPr>
      </w:pPr>
      <w:r>
        <w:rPr>
          <w:b/>
          <w:color w:val="1B1C1D"/>
          <w:sz w:val="28"/>
          <w:szCs w:val="28"/>
          <w:rtl/>
        </w:rPr>
        <w:t>מקורות</w:t>
      </w:r>
    </w:p>
    <w:p w14:paraId="0796CD9F" w14:textId="77777777" w:rsidR="000E596B" w:rsidRDefault="00000000">
      <w:pPr>
        <w:numPr>
          <w:ilvl w:val="0"/>
          <w:numId w:val="3"/>
        </w:numPr>
        <w:spacing w:before="280" w:after="0" w:line="240" w:lineRule="auto"/>
        <w:rPr>
          <w:color w:val="1B1C1D"/>
        </w:rPr>
      </w:pPr>
      <w:r>
        <w:rPr>
          <w:color w:val="1B1C1D"/>
          <w:sz w:val="28"/>
          <w:szCs w:val="28"/>
          <w:rtl/>
        </w:rPr>
        <w:t xml:space="preserve">זוהר, ע' (2004). </w:t>
      </w:r>
      <w:r>
        <w:rPr>
          <w:i/>
          <w:color w:val="1B1C1D"/>
          <w:sz w:val="28"/>
          <w:szCs w:val="28"/>
          <w:rtl/>
        </w:rPr>
        <w:t>ללמוד, לחשוב וללמוד לחשוב</w:t>
      </w:r>
      <w:r>
        <w:rPr>
          <w:color w:val="1B1C1D"/>
          <w:sz w:val="28"/>
          <w:szCs w:val="28"/>
          <w:rtl/>
        </w:rPr>
        <w:t xml:space="preserve">. מכון </w:t>
      </w:r>
      <w:proofErr w:type="spellStart"/>
      <w:r>
        <w:rPr>
          <w:color w:val="1B1C1D"/>
          <w:sz w:val="28"/>
          <w:szCs w:val="28"/>
          <w:rtl/>
        </w:rPr>
        <w:t>ברנקו</w:t>
      </w:r>
      <w:proofErr w:type="spellEnd"/>
      <w:r>
        <w:rPr>
          <w:color w:val="1B1C1D"/>
          <w:sz w:val="28"/>
          <w:szCs w:val="28"/>
          <w:rtl/>
        </w:rPr>
        <w:t xml:space="preserve"> וייס והוצאת הקיבוץ המאוחד.</w:t>
      </w:r>
    </w:p>
    <w:p w14:paraId="3F5AFE38" w14:textId="77777777" w:rsidR="000E596B" w:rsidRDefault="00000000">
      <w:pPr>
        <w:numPr>
          <w:ilvl w:val="0"/>
          <w:numId w:val="3"/>
        </w:numPr>
        <w:spacing w:after="0" w:line="240" w:lineRule="auto"/>
        <w:rPr>
          <w:color w:val="1B1C1D"/>
        </w:rPr>
      </w:pPr>
      <w:r>
        <w:rPr>
          <w:color w:val="1B1C1D"/>
          <w:sz w:val="28"/>
          <w:szCs w:val="28"/>
          <w:rtl/>
        </w:rPr>
        <w:t xml:space="preserve">משרד החינוך (2015). </w:t>
      </w:r>
      <w:r>
        <w:rPr>
          <w:i/>
          <w:color w:val="1B1C1D"/>
          <w:sz w:val="28"/>
          <w:szCs w:val="28"/>
          <w:rtl/>
        </w:rPr>
        <w:t>למידה משמעותית: מתווה ליישום</w:t>
      </w:r>
      <w:r>
        <w:rPr>
          <w:color w:val="1B1C1D"/>
          <w:sz w:val="28"/>
          <w:szCs w:val="28"/>
          <w:rtl/>
        </w:rPr>
        <w:t>. המזכירות הפדגוגית.</w:t>
      </w:r>
    </w:p>
    <w:p w14:paraId="20D77052" w14:textId="77777777" w:rsidR="000E596B" w:rsidRDefault="00000000">
      <w:pPr>
        <w:numPr>
          <w:ilvl w:val="0"/>
          <w:numId w:val="3"/>
        </w:numPr>
        <w:spacing w:after="120" w:line="240" w:lineRule="auto"/>
        <w:rPr>
          <w:color w:val="1B1C1D"/>
        </w:rPr>
      </w:pPr>
      <w:r>
        <w:rPr>
          <w:color w:val="1B1C1D"/>
          <w:sz w:val="28"/>
          <w:szCs w:val="28"/>
          <w:rtl/>
        </w:rPr>
        <w:t>משרד החינוך, פורטל עובדי הוראה. "</w:t>
      </w:r>
      <w:proofErr w:type="spellStart"/>
      <w:r>
        <w:rPr>
          <w:color w:val="1B1C1D"/>
          <w:sz w:val="28"/>
          <w:szCs w:val="28"/>
          <w:rtl/>
        </w:rPr>
        <w:t>פרקטיקות</w:t>
      </w:r>
      <w:proofErr w:type="spellEnd"/>
      <w:r>
        <w:rPr>
          <w:color w:val="1B1C1D"/>
          <w:sz w:val="28"/>
          <w:szCs w:val="28"/>
          <w:rtl/>
        </w:rPr>
        <w:t xml:space="preserve"> להוראה מפורשת".</w:t>
      </w:r>
    </w:p>
    <w:sectPr w:rsidR="000E596B">
      <w:pgSz w:w="11906" w:h="16838"/>
      <w:pgMar w:top="1440" w:right="1800" w:bottom="1440" w:left="180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5AB4FB7A-905D-4295-92BF-AC060EF7DB2F}"/>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9383AB25-3D45-4CC5-8162-FD55DBC3279C}"/>
    <w:embedBold r:id="rId3" w:fontKey="{ABB9BE0F-600E-4755-8B8C-F4B43FA3C437}"/>
    <w:embedItalic r:id="rId4" w:fontKey="{B2007072-CC7E-407F-8B4E-65D3BDCBA4FC}"/>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5" w:fontKey="{C5FCDE01-A705-4C44-B751-22E9977AD9AE}"/>
    <w:embedItalic r:id="rId6" w:fontKey="{B90C8D4C-6CBB-46B8-9EC6-1E669CF7E111}"/>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7" w:fontKey="{EAF214BE-40F9-4373-B8C5-E0105CF17501}"/>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9ED2660"/>
    <w:multiLevelType w:val="multilevel"/>
    <w:tmpl w:val="CE22655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60625B98"/>
    <w:multiLevelType w:val="multilevel"/>
    <w:tmpl w:val="1B08828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72613EAB"/>
    <w:multiLevelType w:val="multilevel"/>
    <w:tmpl w:val="D47E63D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337737048">
    <w:abstractNumId w:val="2"/>
  </w:num>
  <w:num w:numId="2" w16cid:durableId="1020811731">
    <w:abstractNumId w:val="0"/>
  </w:num>
  <w:num w:numId="3" w16cid:durableId="84255299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596B"/>
    <w:rsid w:val="000E596B"/>
    <w:rsid w:val="00B32DB5"/>
    <w:rsid w:val="00B863E5"/>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5E99E1"/>
  <w15:docId w15:val="{35287B84-17F9-4315-88E4-933C699922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he-IL"/>
      </w:rPr>
    </w:rPrDefault>
    <w:pPrDefault>
      <w:pPr>
        <w:bidi/>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paragraph" w:styleId="a4">
    <w:name w:val="Subtitle"/>
    <w:basedOn w:val="a"/>
    <w:next w:val="a"/>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www.restart-tech.co.il/%D7%90%D7%99%D7%9A-%D7%A0%D7%A8%D7%90%D7%99%D7%AA-%D7%91%D7%A4%D7%95%D7%A2%D7%9C-%D7%94%D7%95%D7%A8%D7%90%D7%94-%D7%9E%D7%A4%D7%95%D7%A8%D7%A9%D7%AA-%D7%95%D7%99%D7%A9%D7%99%D7%A8%D7%94/" TargetMode="External"/><Relationship Id="rId18" Type="http://schemas.openxmlformats.org/officeDocument/2006/relationships/hyperlink" Target="https://meyda.education.gov.il/files/Mazkirut_Pedagogit/AgafMadaim/skills_21.pdf" TargetMode="External"/><Relationship Id="rId26" Type="http://schemas.openxmlformats.org/officeDocument/2006/relationships/hyperlink" Target="https://pop.education.gov.il/teaching-tools/teaching-practices/search-teaching-practices/practices-for-explicit-teaching/" TargetMode="External"/><Relationship Id="rId39" Type="http://schemas.openxmlformats.org/officeDocument/2006/relationships/hyperlink" Target="https://pop.education.gov.il/teaching-tools/teaching-practices/search-teaching-practices/practices-for-explicit-teaching/" TargetMode="External"/><Relationship Id="rId21" Type="http://schemas.openxmlformats.org/officeDocument/2006/relationships/image" Target="media/image1.jpg"/><Relationship Id="rId34" Type="http://schemas.openxmlformats.org/officeDocument/2006/relationships/hyperlink" Target="https://pop.education.gov.il/teaching-tools/teaching-practices/search-teaching-practices/practices-for-explicit-teaching/" TargetMode="External"/><Relationship Id="rId42" Type="http://schemas.openxmlformats.org/officeDocument/2006/relationships/fontTable" Target="fontTable.xml"/><Relationship Id="rId7" Type="http://schemas.openxmlformats.org/officeDocument/2006/relationships/hyperlink" Target="https://www.restart-tech.co.il/%D7%90%D7%99%D7%9A-%D7%A0%D7%A8%D7%90%D7%99%D7%AA-%D7%91%D7%A4%D7%95%D7%A2%D7%9C-%D7%94%D7%95%D7%A8%D7%90%D7%94-%D7%9E%D7%A4%D7%95%D7%A8%D7%A9%D7%AA-%D7%95%D7%99%D7%A9%D7%99%D7%A8%D7%94/" TargetMode="External"/><Relationship Id="rId2" Type="http://schemas.openxmlformats.org/officeDocument/2006/relationships/styles" Target="styles.xml"/><Relationship Id="rId16" Type="http://schemas.openxmlformats.org/officeDocument/2006/relationships/hyperlink" Target="https://meyda.education.gov.il/files/Mazkirut_Pedagogit/AgafMadaim/skills_21.pdf" TargetMode="External"/><Relationship Id="rId20" Type="http://schemas.openxmlformats.org/officeDocument/2006/relationships/hyperlink" Target="https://meyda.education.gov.il/files/Mazkirut_Pedagogit/AgafMadaim/skills_21.pdf" TargetMode="External"/><Relationship Id="rId29" Type="http://schemas.openxmlformats.org/officeDocument/2006/relationships/hyperlink" Target="https://pop.education.gov.il/teaching-tools/teaching-practices/search-teaching-practices/practices-for-explicit-teaching/" TargetMode="External"/><Relationship Id="rId41" Type="http://schemas.openxmlformats.org/officeDocument/2006/relationships/hyperlink" Target="https://pop.education.gov.il/teaching-tools/teaching-practices/search-teaching-practices/practices-for-explicit-teaching/" TargetMode="External"/><Relationship Id="rId1" Type="http://schemas.openxmlformats.org/officeDocument/2006/relationships/numbering" Target="numbering.xml"/><Relationship Id="rId6" Type="http://schemas.openxmlformats.org/officeDocument/2006/relationships/hyperlink" Target="https://www.restart-tech.co.il/%D7%90%D7%99%D7%9A-%D7%A0%D7%A8%D7%90%D7%99%D7%AA-%D7%91%D7%A4%D7%95%D7%A2%D7%9C-%D7%94%D7%95%D7%A8%D7%90%D7%94-%D7%9E%D7%A4%D7%95%D7%A8%D7%A9%D7%AA-%D7%95%D7%99%D7%A9%D7%99%D7%A8%D7%94/" TargetMode="External"/><Relationship Id="rId11" Type="http://schemas.openxmlformats.org/officeDocument/2006/relationships/hyperlink" Target="https://www.restart-tech.co.il/%D7%90%D7%99%D7%9A-%D7%A0%D7%A8%D7%90%D7%99%D7%AA-%D7%91%D7%A4%D7%95%D7%A2%D7%9C-%D7%94%D7%95%D7%A8%D7%90%D7%94-%D7%9E%D7%A4%D7%95%D7%A8%D7%A9%D7%AA-%D7%95%D7%99%D7%A9%D7%99%D7%A8%D7%94/" TargetMode="External"/><Relationship Id="rId24" Type="http://schemas.openxmlformats.org/officeDocument/2006/relationships/hyperlink" Target="https://pop.education.gov.il/teaching-tools/teaching-practices/search-teaching-practices/practices-for-explicit-teaching/" TargetMode="External"/><Relationship Id="rId32" Type="http://schemas.openxmlformats.org/officeDocument/2006/relationships/hyperlink" Target="https://pop.education.gov.il/teaching-tools/teaching-practices/search-teaching-practices/practices-for-explicit-teaching/" TargetMode="External"/><Relationship Id="rId37" Type="http://schemas.openxmlformats.org/officeDocument/2006/relationships/hyperlink" Target="https://pop.education.gov.il/teaching-tools/teaching-practices/search-teaching-practices/practices-for-explicit-teaching/" TargetMode="External"/><Relationship Id="rId40" Type="http://schemas.openxmlformats.org/officeDocument/2006/relationships/hyperlink" Target="https://pop.education.gov.il/teaching-tools/teaching-practices/search-teaching-practices/practices-for-explicit-teaching/" TargetMode="External"/><Relationship Id="rId5" Type="http://schemas.openxmlformats.org/officeDocument/2006/relationships/hyperlink" Target="https://www.restart-tech.co.il/%D7%90%D7%99%D7%9A-%D7%A0%D7%A8%D7%90%D7%99%D7%AA-%D7%91%D7%A4%D7%95%D7%A2%D7%9C-%D7%94%D7%95%D7%A8%D7%90%D7%94-%D7%9E%D7%A4%D7%95%D7%A8%D7%A9%D7%AA-%D7%95%D7%99%D7%A9%D7%99%D7%A8%D7%94/" TargetMode="External"/><Relationship Id="rId15" Type="http://schemas.openxmlformats.org/officeDocument/2006/relationships/hyperlink" Target="https://www.restart-tech.co.il/%D7%90%D7%99%D7%9A-%D7%A0%D7%A8%D7%90%D7%99%D7%AA-%D7%91%D7%A4%D7%95%D7%A2%D7%9C-%D7%94%D7%95%D7%A8%D7%90%D7%94-%D7%9E%D7%A4%D7%95%D7%A8%D7%A9%D7%AA-%D7%95%D7%99%D7%A9%D7%99%D7%A8%D7%94/" TargetMode="External"/><Relationship Id="rId23" Type="http://schemas.openxmlformats.org/officeDocument/2006/relationships/hyperlink" Target="https://pop.education.gov.il/teaching-tools/teaching-practices/search-teaching-practices/practices-for-explicit-teaching/" TargetMode="External"/><Relationship Id="rId28" Type="http://schemas.openxmlformats.org/officeDocument/2006/relationships/hyperlink" Target="https://pop.education.gov.il/teaching-tools/teaching-practices/search-teaching-practices/practices-for-explicit-teaching/" TargetMode="External"/><Relationship Id="rId36" Type="http://schemas.openxmlformats.org/officeDocument/2006/relationships/hyperlink" Target="https://pop.education.gov.il/teaching-tools/teaching-practices/search-teaching-practices/practices-for-explicit-teaching/" TargetMode="External"/><Relationship Id="rId10" Type="http://schemas.openxmlformats.org/officeDocument/2006/relationships/hyperlink" Target="https://www.restart-tech.co.il/%D7%90%D7%99%D7%9A-%D7%A0%D7%A8%D7%90%D7%99%D7%AA-%D7%91%D7%A4%D7%95%D7%A2%D7%9C-%D7%94%D7%95%D7%A8%D7%90%D7%94-%D7%9E%D7%A4%D7%95%D7%A8%D7%A9%D7%AA-%D7%95%D7%99%D7%A9%D7%99%D7%A8%D7%94/" TargetMode="External"/><Relationship Id="rId19" Type="http://schemas.openxmlformats.org/officeDocument/2006/relationships/hyperlink" Target="https://meyda.education.gov.il/files/Mazkirut_Pedagogit/AgafMadaim/skills_21.pdf" TargetMode="External"/><Relationship Id="rId31" Type="http://schemas.openxmlformats.org/officeDocument/2006/relationships/hyperlink" Target="https://pop.education.gov.il/teaching-tools/teaching-practices/search-teaching-practices/practices-for-explicit-teaching/" TargetMode="External"/><Relationship Id="rId4" Type="http://schemas.openxmlformats.org/officeDocument/2006/relationships/webSettings" Target="webSettings.xml"/><Relationship Id="rId9" Type="http://schemas.openxmlformats.org/officeDocument/2006/relationships/hyperlink" Target="https://www.restart-tech.co.il/%D7%90%D7%99%D7%9A-%D7%A0%D7%A8%D7%90%D7%99%D7%AA-%D7%91%D7%A4%D7%95%D7%A2%D7%9C-%D7%94%D7%95%D7%A8%D7%90%D7%94-%D7%9E%D7%A4%D7%95%D7%A8%D7%A9%D7%AA-%D7%95%D7%99%D7%A9%D7%99%D7%A8%D7%94/" TargetMode="External"/><Relationship Id="rId14" Type="http://schemas.openxmlformats.org/officeDocument/2006/relationships/hyperlink" Target="https://www.restart-tech.co.il/%D7%90%D7%99%D7%9A-%D7%A0%D7%A8%D7%90%D7%99%D7%AA-%D7%91%D7%A4%D7%95%D7%A2%D7%9C-%D7%94%D7%95%D7%A8%D7%90%D7%94-%D7%9E%D7%A4%D7%95%D7%A8%D7%A9%D7%AA-%D7%95%D7%99%D7%A9%D7%99%D7%A8%D7%94/" TargetMode="External"/><Relationship Id="rId22" Type="http://schemas.openxmlformats.org/officeDocument/2006/relationships/image" Target="media/image2.jpg"/><Relationship Id="rId27" Type="http://schemas.openxmlformats.org/officeDocument/2006/relationships/hyperlink" Target="https://pop.education.gov.il/teaching-tools/teaching-practices/search-teaching-practices/practices-for-explicit-teaching/" TargetMode="External"/><Relationship Id="rId30" Type="http://schemas.openxmlformats.org/officeDocument/2006/relationships/hyperlink" Target="https://pop.education.gov.il/teaching-tools/teaching-practices/search-teaching-practices/practices-for-explicit-teaching/" TargetMode="External"/><Relationship Id="rId35" Type="http://schemas.openxmlformats.org/officeDocument/2006/relationships/hyperlink" Target="https://pop.education.gov.il/teaching-tools/teaching-practices/search-teaching-practices/practices-for-explicit-teaching/" TargetMode="External"/><Relationship Id="rId43" Type="http://schemas.openxmlformats.org/officeDocument/2006/relationships/theme" Target="theme/theme1.xml"/><Relationship Id="rId8" Type="http://schemas.openxmlformats.org/officeDocument/2006/relationships/hyperlink" Target="https://www.restart-tech.co.il/%D7%90%D7%99%D7%9A-%D7%A0%D7%A8%D7%90%D7%99%D7%AA-%D7%91%D7%A4%D7%95%D7%A2%D7%9C-%D7%94%D7%95%D7%A8%D7%90%D7%94-%D7%9E%D7%A4%D7%95%D7%A8%D7%A9%D7%AA-%D7%95%D7%99%D7%A9%D7%99%D7%A8%D7%94/" TargetMode="External"/><Relationship Id="rId3" Type="http://schemas.openxmlformats.org/officeDocument/2006/relationships/settings" Target="settings.xml"/><Relationship Id="rId12" Type="http://schemas.openxmlformats.org/officeDocument/2006/relationships/hyperlink" Target="https://www.restart-tech.co.il/%D7%90%D7%99%D7%9A-%D7%A0%D7%A8%D7%90%D7%99%D7%AA-%D7%91%D7%A4%D7%95%D7%A2%D7%9C-%D7%94%D7%95%D7%A8%D7%90%D7%94-%D7%9E%D7%A4%D7%95%D7%A8%D7%A9%D7%AA-%D7%95%D7%99%D7%A9%D7%99%D7%A8%D7%94/" TargetMode="External"/><Relationship Id="rId17" Type="http://schemas.openxmlformats.org/officeDocument/2006/relationships/hyperlink" Target="https://meyda.education.gov.il/files/Mazkirut_Pedagogit/AgafMadaim/skills_21.pdf" TargetMode="External"/><Relationship Id="rId25" Type="http://schemas.openxmlformats.org/officeDocument/2006/relationships/hyperlink" Target="https://pop.education.gov.il/teaching-tools/teaching-practices/search-teaching-practices/practices-for-explicit-teaching/" TargetMode="External"/><Relationship Id="rId33" Type="http://schemas.openxmlformats.org/officeDocument/2006/relationships/hyperlink" Target="https://pop.education.gov.il/teaching-tools/teaching-practices/search-teaching-practices/practices-for-explicit-teaching/" TargetMode="External"/><Relationship Id="rId38" Type="http://schemas.openxmlformats.org/officeDocument/2006/relationships/hyperlink" Target="https://pop.education.gov.il/teaching-tools/teaching-practices/search-teaching-practices/practices-for-explicit-teaching/"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Pages>
  <Words>1905</Words>
  <Characters>9527</Characters>
  <Application>Microsoft Office Word</Application>
  <DocSecurity>0</DocSecurity>
  <Lines>79</Lines>
  <Paragraphs>22</Paragraphs>
  <ScaleCrop>false</ScaleCrop>
  <Company/>
  <LinksUpToDate>false</LinksUpToDate>
  <CharactersWithSpaces>11410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yvette</dc:creator>
  <cp:lastModifiedBy>Najib Talhami</cp:lastModifiedBy>
  <cp:revision>2</cp:revision>
  <dcterms:created xsi:type="dcterms:W3CDTF">2025-08-21T09:36:00Z</dcterms:created>
  <dcterms:modified xsi:type="dcterms:W3CDTF">2025-08-21T09:36:00Z</dcterms:modified>
</cp:coreProperties>
</file>